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43F1B" w14:textId="77777777" w:rsidR="00F37DA1" w:rsidRDefault="00F37DA1">
      <w:pPr>
        <w:rPr>
          <w:rFonts w:ascii="Arial" w:hAnsi="Arial" w:cs="Arial"/>
        </w:rPr>
      </w:pPr>
    </w:p>
    <w:p w14:paraId="71E5D36F" w14:textId="77777777" w:rsidR="00F37DA1" w:rsidRDefault="00F37DA1">
      <w:pPr>
        <w:rPr>
          <w:rFonts w:ascii="Arial" w:hAnsi="Arial" w:cs="Arial"/>
        </w:rPr>
      </w:pPr>
    </w:p>
    <w:p w14:paraId="18ED475B" w14:textId="77777777" w:rsidR="00F37DA1" w:rsidRDefault="00F37DA1">
      <w:pPr>
        <w:rPr>
          <w:rFonts w:ascii="Arial" w:hAnsi="Arial" w:cs="Arial"/>
        </w:rPr>
      </w:pPr>
    </w:p>
    <w:p w14:paraId="61D7359D" w14:textId="7C6AFFD8" w:rsidR="00F37DA1" w:rsidRDefault="00F37DA1">
      <w:pPr>
        <w:rPr>
          <w:rFonts w:ascii="Arial" w:hAnsi="Arial" w:cs="Arial"/>
        </w:rPr>
      </w:pPr>
    </w:p>
    <w:p w14:paraId="1F6DE124" w14:textId="30659AB4" w:rsidR="00F37DA1" w:rsidRDefault="004E7609">
      <w:pPr>
        <w:pStyle w:val="P68B1DB1-Normal1"/>
      </w:pPr>
      <w:r>
        <w:rPr>
          <w:noProof/>
        </w:rPr>
        <w:drawing>
          <wp:anchor distT="0" distB="0" distL="114300" distR="114300" simplePos="0" relativeHeight="251656704" behindDoc="1" locked="0" layoutInCell="1" allowOverlap="1" wp14:anchorId="7CDF642B" wp14:editId="18F478E2">
            <wp:simplePos x="0" y="0"/>
            <wp:positionH relativeFrom="margin">
              <wp:align>center</wp:align>
            </wp:positionH>
            <wp:positionV relativeFrom="paragraph">
              <wp:posOffset>110076</wp:posOffset>
            </wp:positionV>
            <wp:extent cx="4322064" cy="1438656"/>
            <wp:effectExtent l="0" t="0" r="254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11">
                      <a:extLst>
                        <a:ext uri="{28A0092B-C50C-407E-A947-70E740481C1C}">
                          <a14:useLocalDpi xmlns:a14="http://schemas.microsoft.com/office/drawing/2010/main" val="0"/>
                        </a:ext>
                      </a:extLst>
                    </a:blip>
                    <a:stretch>
                      <a:fillRect/>
                    </a:stretch>
                  </pic:blipFill>
                  <pic:spPr>
                    <a:xfrm>
                      <a:off x="0" y="0"/>
                      <a:ext cx="4322064" cy="1438656"/>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svg="http://schemas.microsoft.com/office/drawing/2016/SVG/main" xmlns:a16="http://schemas.microsoft.com/office/drawing/2014/main" xmlns:a14="http://schemas.microsoft.com/office/drawing/2010/main"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p>
    <w:p w14:paraId="44ECBCFD" w14:textId="77777777" w:rsidR="00F37DA1" w:rsidRDefault="00F37DA1">
      <w:pPr>
        <w:rPr>
          <w:rFonts w:ascii="Arial" w:hAnsi="Arial" w:cs="Arial"/>
        </w:rPr>
      </w:pPr>
    </w:p>
    <w:p w14:paraId="5562E19E" w14:textId="77777777" w:rsidR="00F37DA1" w:rsidRDefault="00F37DA1">
      <w:pPr>
        <w:rPr>
          <w:rFonts w:ascii="Arial" w:hAnsi="Arial" w:cs="Arial"/>
        </w:rPr>
      </w:pPr>
    </w:p>
    <w:p w14:paraId="4D764570" w14:textId="3B19CE05" w:rsidR="00F37DA1" w:rsidRDefault="00F37DA1">
      <w:pPr>
        <w:rPr>
          <w:rFonts w:ascii="Arial" w:hAnsi="Arial" w:cs="Arial"/>
        </w:rPr>
      </w:pPr>
    </w:p>
    <w:p w14:paraId="4D52A7C3" w14:textId="77777777" w:rsidR="00F37DA1" w:rsidRDefault="00F37DA1">
      <w:pPr>
        <w:rPr>
          <w:rFonts w:ascii="Arial" w:hAnsi="Arial" w:cs="Arial"/>
        </w:rPr>
      </w:pPr>
    </w:p>
    <w:p w14:paraId="76FAC804" w14:textId="14C00A10" w:rsidR="00F37DA1" w:rsidRDefault="00F37DA1">
      <w:pPr>
        <w:rPr>
          <w:rFonts w:ascii="Arial" w:hAnsi="Arial" w:cs="Arial"/>
        </w:rPr>
      </w:pPr>
    </w:p>
    <w:p w14:paraId="0DD83C0A" w14:textId="77777777" w:rsidR="00F37DA1" w:rsidRDefault="00F37DA1">
      <w:pPr>
        <w:rPr>
          <w:rFonts w:ascii="Arial" w:hAnsi="Arial" w:cs="Arial"/>
        </w:rPr>
      </w:pPr>
    </w:p>
    <w:p w14:paraId="3B840567" w14:textId="77777777" w:rsidR="00F37DA1" w:rsidRDefault="00F37DA1">
      <w:pPr>
        <w:rPr>
          <w:rFonts w:ascii="Arial" w:hAnsi="Arial" w:cs="Arial"/>
        </w:rPr>
      </w:pPr>
    </w:p>
    <w:p w14:paraId="52D01BFB" w14:textId="77777777" w:rsidR="00F37DA1" w:rsidRDefault="00F37DA1">
      <w:pPr>
        <w:rPr>
          <w:rFonts w:ascii="Arial" w:hAnsi="Arial" w:cs="Arial"/>
        </w:rPr>
      </w:pPr>
    </w:p>
    <w:p w14:paraId="14CE44AD" w14:textId="77777777" w:rsidR="00F37DA1" w:rsidRDefault="00F37DA1">
      <w:pPr>
        <w:rPr>
          <w:rFonts w:ascii="Arial" w:hAnsi="Arial" w:cs="Arial"/>
        </w:rPr>
      </w:pPr>
    </w:p>
    <w:p w14:paraId="482D682E" w14:textId="16E80DC0" w:rsidR="00F37DA1" w:rsidRDefault="004E7609">
      <w:pPr>
        <w:pStyle w:val="P68B1DB1-Normal1"/>
      </w:pPr>
      <w:r>
        <w:rPr>
          <w:noProof/>
        </w:rPr>
        <mc:AlternateContent>
          <mc:Choice Requires="wps">
            <w:drawing>
              <wp:anchor distT="0" distB="0" distL="114300" distR="114300" simplePos="0" relativeHeight="251654656" behindDoc="0" locked="0" layoutInCell="1" allowOverlap="1" wp14:anchorId="660B7A8A" wp14:editId="75CE3317">
                <wp:simplePos x="0" y="0"/>
                <wp:positionH relativeFrom="margin">
                  <wp:align>center</wp:align>
                </wp:positionH>
                <wp:positionV relativeFrom="paragraph">
                  <wp:posOffset>184992</wp:posOffset>
                </wp:positionV>
                <wp:extent cx="5965825" cy="2298700"/>
                <wp:effectExtent l="0" t="0" r="0" b="635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298700"/>
                        </a:xfrm>
                        <a:prstGeom prst="rect">
                          <a:avLst/>
                        </a:prstGeom>
                        <a:noFill/>
                        <a:ln>
                          <a:noFill/>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a16="http://schemas.microsoft.com/office/drawing/2014/main" xmlns:ma14="http://schemas.microsoft.com/office/mac/drawingml/2011/main" xmlns:pic="http://schemas.openxmlformats.org/drawingml/2006/picture" xmlns:w16sdtdh="http://schemas.microsoft.com/office/word/2020/wordml/sdtdatahash">
                              <a:solidFill>
                                <a:srgbClr val="000000"/>
                              </a:solidFill>
                            </a14:hiddenFill>
                          </a:ex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a16="http://schemas.microsoft.com/office/drawing/2014/main" xmlns:ma14="http://schemas.microsoft.com/office/mac/drawingml/2011/main" xmlns:pic="http://schemas.openxmlformats.org/drawingml/2006/picture" xmlns:w16sdtdh="http://schemas.microsoft.com/office/word/2020/wordml/sdtdatahash" w="9525">
                              <a:solidFill>
                                <a:srgbClr val="000000"/>
                              </a:solidFill>
                              <a:miter lim="800000"/>
                              <a:headEnd/>
                              <a:tailEnd/>
                            </a14:hiddenLine>
                          </a:ext>
                        </a:extLst>
                      </wps:spPr>
                      <wps:txbx>
                        <w:txbxContent>
                          <w:p w14:paraId="20FF2512" w14:textId="0D621B7A" w:rsidR="005B50B0" w:rsidRDefault="005B50B0">
                            <w:pPr>
                              <w:pStyle w:val="P68B1DB1-Normal2"/>
                              <w:spacing w:line="276" w:lineRule="auto"/>
                              <w:jc w:val="center"/>
                            </w:pPr>
                            <w:r>
                              <w:t>Procedimento de Melhoria Contínua</w:t>
                            </w:r>
                          </w:p>
                          <w:p w14:paraId="773DE028" w14:textId="77777777" w:rsidR="005B50B0" w:rsidRDefault="005B50B0">
                            <w:pPr>
                              <w:spacing w:line="276" w:lineRule="auto"/>
                              <w:jc w:val="center"/>
                              <w:rPr>
                                <w:rStyle w:val="FSCSubHeadline"/>
                                <w:rFonts w:cs="Arial"/>
                                <w:color w:val="000000" w:themeColor="text1"/>
                                <w:sz w:val="16"/>
                              </w:rPr>
                            </w:pPr>
                          </w:p>
                          <w:p w14:paraId="1BCD4D5A" w14:textId="3151DE16" w:rsidR="005B50B0" w:rsidRDefault="005B50B0">
                            <w:pPr>
                              <w:pStyle w:val="P68B1DB1-Normal3"/>
                              <w:spacing w:line="276" w:lineRule="auto"/>
                              <w:jc w:val="center"/>
                            </w:pPr>
                            <w:r>
                              <w:t>FSC-PRO-30-011 V1-0</w:t>
                            </w:r>
                          </w:p>
                          <w:p w14:paraId="69964D16" w14:textId="6DE1AC1B" w:rsidR="005B50B0" w:rsidRDefault="005B50B0">
                            <w:pPr>
                              <w:pStyle w:val="P68B1DB1-Normal4"/>
                              <w:spacing w:line="276" w:lineRule="auto"/>
                              <w:jc w:val="center"/>
                              <w:rPr>
                                <w:rStyle w:val="FSCSubHeadline"/>
                                <w:color w:val="FF0000"/>
                                <w:sz w:val="40"/>
                              </w:rPr>
                            </w:pPr>
                            <w:r>
                              <w:t>Rascunho 1</w:t>
                            </w:r>
                          </w:p>
                          <w:p w14:paraId="2E1D420C" w14:textId="77777777" w:rsidR="005B50B0" w:rsidRDefault="005B50B0"/>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B7A8A" id="_x0000_t202" coordsize="21600,21600" o:spt="202" path="m,l,21600r21600,l21600,xe">
                <v:stroke joinstyle="miter"/>
                <v:path gradientshapeok="t" o:connecttype="rect"/>
              </v:shapetype>
              <v:shape id="Text Box 13" o:spid="_x0000_s1026" type="#_x0000_t202" style="position:absolute;margin-left:0;margin-top:14.55pt;width:469.75pt;height:181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" filled="f" stroked="f">
                <v:textbox inset="7.5mm,7.5mm,9.5mm">
                  <w:txbxContent>
                    <w:p w14:paraId="20FF2512" w14:textId="0D621B7A" w:rsidR="005B50B0" w:rsidRDefault="005B50B0">
                      <w:pPr>
                        <w:pStyle w:val="P68B1DB1-Normal2"/>
                        <w:spacing w:line="276" w:lineRule="auto"/>
                        <w:jc w:val="center"/>
                      </w:pPr>
                      <w:r>
                        <w:t>Procedimento de Melhoria Contínua</w:t>
                      </w:r>
                    </w:p>
                    <w:p w14:paraId="773DE028" w14:textId="77777777" w:rsidR="005B50B0" w:rsidRDefault="005B50B0">
                      <w:pPr>
                        <w:spacing w:line="276" w:lineRule="auto"/>
                        <w:jc w:val="center"/>
                        <w:rPr>
                          <w:rStyle w:val="FSCSubHeadline"/>
                          <w:rFonts w:cs="Arial"/>
                          <w:color w:val="000000" w:themeColor="text1"/>
                          <w:sz w:val="16"/>
                        </w:rPr>
                      </w:pPr>
                    </w:p>
                    <w:p w14:paraId="1BCD4D5A" w14:textId="3151DE16" w:rsidR="005B50B0" w:rsidRDefault="005B50B0">
                      <w:pPr>
                        <w:pStyle w:val="P68B1DB1-Normal3"/>
                        <w:spacing w:line="276" w:lineRule="auto"/>
                        <w:jc w:val="center"/>
                      </w:pPr>
                      <w:r>
                        <w:t>FSC-PRO-30-011 V1-0</w:t>
                      </w:r>
                    </w:p>
                    <w:p w14:paraId="69964D16" w14:textId="6DE1AC1B" w:rsidR="005B50B0" w:rsidRDefault="005B50B0">
                      <w:pPr>
                        <w:pStyle w:val="P68B1DB1-Normal4"/>
                        <w:spacing w:line="276" w:lineRule="auto"/>
                        <w:jc w:val="center"/>
                        <w:rPr>
                          <w:rStyle w:val="FSCSubHeadline"/>
                          <w:color w:val="FF0000"/>
                          <w:sz w:val="40"/>
                        </w:rPr>
                      </w:pPr>
                      <w:r>
                        <w:t>Rascunho 1</w:t>
                      </w:r>
                    </w:p>
                    <w:p w14:paraId="2E1D420C" w14:textId="77777777" w:rsidR="005B50B0" w:rsidRDefault="005B50B0"/>
                  </w:txbxContent>
                </v:textbox>
                <w10:wrap anchorx="margin"/>
              </v:shape>
            </w:pict>
          </mc:Fallback>
        </mc:AlternateContent>
      </w:r>
    </w:p>
    <w:p w14:paraId="1102838E" w14:textId="6C804673" w:rsidR="00F37DA1" w:rsidRDefault="00F37DA1">
      <w:pPr>
        <w:rPr>
          <w:rFonts w:ascii="Arial" w:hAnsi="Arial" w:cs="Arial"/>
        </w:rPr>
      </w:pPr>
    </w:p>
    <w:p w14:paraId="287DA612" w14:textId="014E6437" w:rsidR="00F37DA1" w:rsidRDefault="00F37DA1">
      <w:pPr>
        <w:rPr>
          <w:rFonts w:ascii="Arial" w:hAnsi="Arial" w:cs="Arial"/>
        </w:rPr>
      </w:pPr>
    </w:p>
    <w:p w14:paraId="7758BEF4" w14:textId="77777777" w:rsidR="00F37DA1" w:rsidRDefault="00F37DA1">
      <w:pPr>
        <w:rPr>
          <w:rFonts w:ascii="Arial" w:hAnsi="Arial" w:cs="Arial"/>
        </w:rPr>
      </w:pPr>
    </w:p>
    <w:p w14:paraId="22A27C3F" w14:textId="77777777" w:rsidR="00F37DA1" w:rsidRDefault="00F37DA1">
      <w:pPr>
        <w:rPr>
          <w:rFonts w:ascii="Arial" w:hAnsi="Arial" w:cs="Arial"/>
        </w:rPr>
      </w:pPr>
    </w:p>
    <w:p w14:paraId="4E853C0D" w14:textId="77777777" w:rsidR="00F37DA1" w:rsidRDefault="00F37DA1">
      <w:pPr>
        <w:rPr>
          <w:rFonts w:ascii="Arial" w:hAnsi="Arial" w:cs="Arial"/>
        </w:rPr>
      </w:pPr>
    </w:p>
    <w:p w14:paraId="685D9D48" w14:textId="3E351EB6" w:rsidR="00F37DA1" w:rsidRDefault="00F37DA1">
      <w:pPr>
        <w:rPr>
          <w:rFonts w:ascii="Arial" w:hAnsi="Arial" w:cs="Arial"/>
        </w:rPr>
      </w:pPr>
    </w:p>
    <w:p w14:paraId="6A67B5D6" w14:textId="1781017B" w:rsidR="00F37DA1" w:rsidRDefault="00F37DA1">
      <w:pPr>
        <w:rPr>
          <w:rFonts w:ascii="Arial" w:hAnsi="Arial" w:cs="Arial"/>
        </w:rPr>
      </w:pPr>
    </w:p>
    <w:p w14:paraId="27B7B50D" w14:textId="17C0CB7E" w:rsidR="00F37DA1" w:rsidRDefault="00F37DA1">
      <w:pPr>
        <w:rPr>
          <w:rFonts w:ascii="Arial" w:hAnsi="Arial" w:cs="Arial"/>
        </w:rPr>
      </w:pPr>
    </w:p>
    <w:p w14:paraId="4DA97330" w14:textId="77777777" w:rsidR="00F37DA1" w:rsidRDefault="00F37DA1">
      <w:pPr>
        <w:rPr>
          <w:rFonts w:ascii="Arial" w:hAnsi="Arial" w:cs="Arial"/>
        </w:rPr>
      </w:pPr>
    </w:p>
    <w:p w14:paraId="78B4CC81" w14:textId="77777777" w:rsidR="00F37DA1" w:rsidRDefault="00F37DA1">
      <w:pPr>
        <w:rPr>
          <w:rFonts w:ascii="Arial" w:hAnsi="Arial" w:cs="Arial"/>
        </w:rPr>
      </w:pPr>
    </w:p>
    <w:p w14:paraId="4B16696C" w14:textId="77777777" w:rsidR="00F37DA1" w:rsidRDefault="00F37DA1">
      <w:pPr>
        <w:rPr>
          <w:rFonts w:ascii="Arial" w:hAnsi="Arial" w:cs="Arial"/>
        </w:rPr>
      </w:pPr>
    </w:p>
    <w:p w14:paraId="35D7381D" w14:textId="77777777" w:rsidR="00F37DA1" w:rsidRDefault="00F37DA1">
      <w:pPr>
        <w:rPr>
          <w:rFonts w:ascii="Arial" w:hAnsi="Arial" w:cs="Arial"/>
        </w:rPr>
      </w:pPr>
    </w:p>
    <w:p w14:paraId="1C908F3F" w14:textId="5C84693B" w:rsidR="00F37DA1" w:rsidRDefault="00F37DA1">
      <w:pPr>
        <w:rPr>
          <w:rFonts w:ascii="Arial" w:hAnsi="Arial" w:cs="Arial"/>
        </w:rPr>
      </w:pPr>
    </w:p>
    <w:p w14:paraId="70D42E23" w14:textId="77777777" w:rsidR="00F37DA1" w:rsidRDefault="00F37DA1">
      <w:pPr>
        <w:rPr>
          <w:rFonts w:ascii="Arial" w:hAnsi="Arial" w:cs="Arial"/>
        </w:rPr>
      </w:pPr>
    </w:p>
    <w:p w14:paraId="16FAF525" w14:textId="77777777" w:rsidR="00F37DA1" w:rsidRDefault="00F37DA1">
      <w:pPr>
        <w:rPr>
          <w:rFonts w:ascii="Arial" w:hAnsi="Arial" w:cs="Arial"/>
        </w:rPr>
      </w:pPr>
    </w:p>
    <w:p w14:paraId="349B4CCE" w14:textId="77777777" w:rsidR="00F37DA1" w:rsidRDefault="00F37DA1">
      <w:pPr>
        <w:rPr>
          <w:rFonts w:ascii="Arial" w:hAnsi="Arial" w:cs="Arial"/>
        </w:rPr>
      </w:pPr>
    </w:p>
    <w:p w14:paraId="44DE55CD" w14:textId="77777777" w:rsidR="00F37DA1" w:rsidRDefault="00F37DA1">
      <w:pPr>
        <w:rPr>
          <w:rFonts w:ascii="Arial" w:hAnsi="Arial" w:cs="Arial"/>
        </w:rPr>
      </w:pPr>
    </w:p>
    <w:p w14:paraId="208E6095" w14:textId="77777777" w:rsidR="00F37DA1" w:rsidRDefault="00F37DA1">
      <w:pPr>
        <w:rPr>
          <w:rFonts w:ascii="Arial" w:hAnsi="Arial" w:cs="Arial"/>
        </w:rPr>
      </w:pPr>
    </w:p>
    <w:p w14:paraId="111BF612" w14:textId="77777777" w:rsidR="00F37DA1" w:rsidRDefault="00F37DA1">
      <w:pPr>
        <w:rPr>
          <w:rFonts w:ascii="Arial" w:hAnsi="Arial" w:cs="Arial"/>
        </w:rPr>
      </w:pPr>
    </w:p>
    <w:p w14:paraId="78BBBE04" w14:textId="77777777" w:rsidR="00F37DA1" w:rsidRDefault="00F37DA1">
      <w:pPr>
        <w:rPr>
          <w:rFonts w:ascii="Arial" w:hAnsi="Arial" w:cs="Arial"/>
        </w:rPr>
      </w:pPr>
    </w:p>
    <w:p w14:paraId="5575A978" w14:textId="77777777" w:rsidR="00F37DA1" w:rsidRDefault="00F37DA1">
      <w:pPr>
        <w:rPr>
          <w:rFonts w:ascii="Arial" w:hAnsi="Arial" w:cs="Arial"/>
        </w:rPr>
      </w:pPr>
    </w:p>
    <w:p w14:paraId="1DF350EA" w14:textId="77777777" w:rsidR="00F37DA1" w:rsidRDefault="00F37DA1">
      <w:pPr>
        <w:rPr>
          <w:rFonts w:ascii="Arial" w:hAnsi="Arial" w:cs="Arial"/>
        </w:rPr>
      </w:pPr>
    </w:p>
    <w:p w14:paraId="1A73DF33" w14:textId="77777777" w:rsidR="00F37DA1" w:rsidRDefault="00F37DA1">
      <w:pPr>
        <w:rPr>
          <w:rFonts w:ascii="Arial" w:hAnsi="Arial" w:cs="Arial"/>
        </w:rPr>
      </w:pPr>
    </w:p>
    <w:p w14:paraId="6A467839" w14:textId="77777777" w:rsidR="00F37DA1" w:rsidRDefault="00F37DA1">
      <w:pPr>
        <w:rPr>
          <w:rFonts w:ascii="Arial" w:hAnsi="Arial" w:cs="Arial"/>
        </w:rPr>
      </w:pPr>
    </w:p>
    <w:p w14:paraId="2C7F1499" w14:textId="77777777" w:rsidR="00F37DA1" w:rsidRDefault="00F37DA1">
      <w:pPr>
        <w:rPr>
          <w:rFonts w:ascii="Arial" w:hAnsi="Arial" w:cs="Arial"/>
        </w:rPr>
      </w:pPr>
    </w:p>
    <w:p w14:paraId="22460F05" w14:textId="77777777" w:rsidR="00F37DA1" w:rsidRDefault="00F37DA1">
      <w:pPr>
        <w:rPr>
          <w:rFonts w:ascii="Arial" w:hAnsi="Arial" w:cs="Arial"/>
        </w:rPr>
      </w:pPr>
    </w:p>
    <w:p w14:paraId="74BA3B1C" w14:textId="77777777" w:rsidR="00F37DA1" w:rsidRDefault="00F37DA1">
      <w:pPr>
        <w:jc w:val="both"/>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752"/>
        <w:gridCol w:w="5296"/>
      </w:tblGrid>
      <w:tr w:rsidR="00F37DA1" w14:paraId="3EB87BC8" w14:textId="77777777">
        <w:trPr>
          <w:trHeight w:val="607"/>
          <w:jc w:val="center"/>
        </w:trPr>
        <w:tc>
          <w:tcPr>
            <w:tcW w:w="2968" w:type="dxa"/>
            <w:tcBorders>
              <w:top w:val="single" w:sz="4" w:space="0" w:color="auto"/>
              <w:left w:val="single" w:sz="4" w:space="0" w:color="auto"/>
              <w:bottom w:val="nil"/>
              <w:right w:val="nil"/>
            </w:tcBorders>
            <w:vAlign w:val="center"/>
            <w:hideMark/>
          </w:tcPr>
          <w:p w14:paraId="277A989C" w14:textId="77777777" w:rsidR="00F37DA1" w:rsidRDefault="004E7609">
            <w:pPr>
              <w:pStyle w:val="P68B1DB1-Normal5"/>
              <w:spacing w:before="120" w:after="120"/>
              <w:jc w:val="both"/>
            </w:pPr>
            <w:r>
              <w:lastRenderedPageBreak/>
              <w:t>Título:</w:t>
            </w:r>
          </w:p>
        </w:tc>
        <w:tc>
          <w:tcPr>
            <w:tcW w:w="6048" w:type="dxa"/>
            <w:gridSpan w:val="2"/>
            <w:tcBorders>
              <w:top w:val="single" w:sz="4" w:space="0" w:color="auto"/>
              <w:left w:val="nil"/>
              <w:bottom w:val="nil"/>
              <w:right w:val="single" w:sz="4" w:space="0" w:color="auto"/>
            </w:tcBorders>
            <w:vAlign w:val="center"/>
            <w:hideMark/>
          </w:tcPr>
          <w:p w14:paraId="253D60D4" w14:textId="3294C9DE" w:rsidR="00F37DA1" w:rsidRDefault="00D4243E">
            <w:pPr>
              <w:pStyle w:val="P68B1DB1-Normal6"/>
              <w:spacing w:before="120" w:after="120"/>
              <w:jc w:val="both"/>
            </w:pPr>
            <w:r>
              <w:t xml:space="preserve">Procedimento </w:t>
            </w:r>
            <w:r w:rsidR="004E7609">
              <w:t>de Melhoria Contínua</w:t>
            </w:r>
          </w:p>
        </w:tc>
      </w:tr>
      <w:tr w:rsidR="00F37DA1" w14:paraId="7E2AF590" w14:textId="77777777">
        <w:trPr>
          <w:trHeight w:val="376"/>
          <w:jc w:val="center"/>
        </w:trPr>
        <w:tc>
          <w:tcPr>
            <w:tcW w:w="2968" w:type="dxa"/>
            <w:tcBorders>
              <w:top w:val="nil"/>
              <w:left w:val="single" w:sz="4" w:space="0" w:color="auto"/>
              <w:bottom w:val="nil"/>
              <w:right w:val="nil"/>
            </w:tcBorders>
            <w:vAlign w:val="center"/>
            <w:hideMark/>
          </w:tcPr>
          <w:p w14:paraId="46718E88" w14:textId="77777777" w:rsidR="00F37DA1" w:rsidRDefault="004E7609">
            <w:pPr>
              <w:pStyle w:val="P68B1DB1-Normal5"/>
              <w:spacing w:before="120" w:after="120"/>
              <w:jc w:val="both"/>
            </w:pPr>
            <w:r>
              <w:t>Código do Documento:</w:t>
            </w:r>
          </w:p>
        </w:tc>
        <w:tc>
          <w:tcPr>
            <w:tcW w:w="6048" w:type="dxa"/>
            <w:gridSpan w:val="2"/>
            <w:tcBorders>
              <w:top w:val="nil"/>
              <w:left w:val="nil"/>
              <w:bottom w:val="nil"/>
              <w:right w:val="single" w:sz="4" w:space="0" w:color="auto"/>
            </w:tcBorders>
            <w:vAlign w:val="center"/>
            <w:hideMark/>
          </w:tcPr>
          <w:p w14:paraId="0D75E04F" w14:textId="5CA85E40" w:rsidR="00F37DA1" w:rsidRDefault="004E7609">
            <w:pPr>
              <w:pStyle w:val="P68B1DB1-Normal6"/>
              <w:spacing w:before="120" w:after="120"/>
              <w:jc w:val="both"/>
            </w:pPr>
            <w:r>
              <w:t>FSC-PRO-30-011 V1-0 EN</w:t>
            </w:r>
          </w:p>
        </w:tc>
      </w:tr>
      <w:tr w:rsidR="00F37DA1" w14:paraId="6863550A" w14:textId="77777777">
        <w:trPr>
          <w:jc w:val="center"/>
        </w:trPr>
        <w:tc>
          <w:tcPr>
            <w:tcW w:w="2968" w:type="dxa"/>
            <w:tcBorders>
              <w:top w:val="nil"/>
              <w:left w:val="single" w:sz="4" w:space="0" w:color="auto"/>
              <w:bottom w:val="nil"/>
              <w:right w:val="nil"/>
            </w:tcBorders>
          </w:tcPr>
          <w:p w14:paraId="511B7E5C" w14:textId="77777777" w:rsidR="00F37DA1" w:rsidRDefault="004E7609">
            <w:pPr>
              <w:pStyle w:val="P68B1DB1-Normal5"/>
              <w:spacing w:before="120" w:after="120"/>
              <w:jc w:val="both"/>
            </w:pPr>
            <w:r>
              <w:t>Aprovação:</w:t>
            </w:r>
          </w:p>
        </w:tc>
        <w:tc>
          <w:tcPr>
            <w:tcW w:w="6048" w:type="dxa"/>
            <w:gridSpan w:val="2"/>
            <w:tcBorders>
              <w:top w:val="nil"/>
              <w:left w:val="nil"/>
              <w:bottom w:val="nil"/>
              <w:right w:val="single" w:sz="4" w:space="0" w:color="auto"/>
            </w:tcBorders>
            <w:vAlign w:val="center"/>
          </w:tcPr>
          <w:p w14:paraId="26CB82BD" w14:textId="77777777" w:rsidR="00F37DA1" w:rsidRDefault="004E7609">
            <w:pPr>
              <w:pStyle w:val="P68B1DB1-Normal7"/>
              <w:spacing w:before="120" w:after="120"/>
              <w:jc w:val="both"/>
              <w:rPr>
                <w:caps/>
                <w:color w:val="D37D2D"/>
                <w:sz w:val="33"/>
              </w:rPr>
            </w:pPr>
            <w:proofErr w:type="spellStart"/>
            <w:r>
              <w:t>Xx</w:t>
            </w:r>
            <w:proofErr w:type="spellEnd"/>
            <w:r>
              <w:t xml:space="preserve"> </w:t>
            </w:r>
            <w:proofErr w:type="spellStart"/>
            <w:r>
              <w:t>xxxxx</w:t>
            </w:r>
            <w:proofErr w:type="spellEnd"/>
            <w:r>
              <w:t xml:space="preserve"> </w:t>
            </w:r>
            <w:proofErr w:type="spellStart"/>
            <w:r>
              <w:t>xxxx</w:t>
            </w:r>
            <w:proofErr w:type="spellEnd"/>
          </w:p>
        </w:tc>
      </w:tr>
      <w:tr w:rsidR="00F37DA1" w14:paraId="08E72B20" w14:textId="77777777">
        <w:trPr>
          <w:jc w:val="center"/>
        </w:trPr>
        <w:tc>
          <w:tcPr>
            <w:tcW w:w="2968" w:type="dxa"/>
            <w:tcBorders>
              <w:top w:val="nil"/>
              <w:left w:val="single" w:sz="4" w:space="0" w:color="auto"/>
              <w:bottom w:val="nil"/>
              <w:right w:val="nil"/>
            </w:tcBorders>
          </w:tcPr>
          <w:p w14:paraId="45C24C4E" w14:textId="77777777" w:rsidR="00F37DA1" w:rsidRDefault="004E7609">
            <w:pPr>
              <w:pStyle w:val="P68B1DB1-Normal5"/>
              <w:spacing w:before="120" w:after="120"/>
              <w:jc w:val="both"/>
            </w:pPr>
            <w:r>
              <w:t>Contato:</w:t>
            </w:r>
          </w:p>
          <w:p w14:paraId="49F626D9" w14:textId="77777777" w:rsidR="00F37DA1" w:rsidRDefault="00F37DA1">
            <w:pPr>
              <w:spacing w:before="120" w:after="120"/>
              <w:jc w:val="both"/>
              <w:rPr>
                <w:rFonts w:ascii="Arial" w:hAnsi="Arial" w:cs="Arial"/>
                <w:b/>
                <w:sz w:val="22"/>
              </w:rPr>
            </w:pPr>
          </w:p>
        </w:tc>
        <w:tc>
          <w:tcPr>
            <w:tcW w:w="6048" w:type="dxa"/>
            <w:gridSpan w:val="2"/>
            <w:tcBorders>
              <w:top w:val="nil"/>
              <w:left w:val="nil"/>
              <w:bottom w:val="nil"/>
              <w:right w:val="single" w:sz="4" w:space="0" w:color="auto"/>
            </w:tcBorders>
            <w:vAlign w:val="center"/>
          </w:tcPr>
          <w:p w14:paraId="033D3CDC" w14:textId="77777777" w:rsidR="00F37DA1" w:rsidRDefault="004E7609">
            <w:pPr>
              <w:pStyle w:val="P68B1DB1-Normal6"/>
              <w:spacing w:before="120" w:after="120"/>
              <w:jc w:val="both"/>
            </w:pPr>
            <w:r>
              <w:t>Centro Internacional do FSC</w:t>
            </w:r>
          </w:p>
          <w:p w14:paraId="5F547838" w14:textId="77777777" w:rsidR="00F37DA1" w:rsidRDefault="004E7609">
            <w:pPr>
              <w:pStyle w:val="P68B1DB1-Normal6"/>
              <w:spacing w:before="120" w:after="120"/>
              <w:jc w:val="both"/>
            </w:pPr>
            <w:r>
              <w:t xml:space="preserve">Unidade de Desempenho e Padrões </w:t>
            </w:r>
          </w:p>
          <w:p w14:paraId="4694F44E" w14:textId="2E3B4C86" w:rsidR="00F37DA1" w:rsidRDefault="004E7609">
            <w:pPr>
              <w:pStyle w:val="P68B1DB1-Normal6"/>
              <w:spacing w:before="120" w:after="120"/>
              <w:jc w:val="both"/>
            </w:pPr>
            <w:proofErr w:type="spellStart"/>
            <w:r>
              <w:t>Adenauerallee</w:t>
            </w:r>
            <w:proofErr w:type="spellEnd"/>
            <w:r>
              <w:t xml:space="preserve"> 134</w:t>
            </w:r>
          </w:p>
          <w:p w14:paraId="5B6D3DC2" w14:textId="77777777" w:rsidR="00F37DA1" w:rsidRDefault="004E7609">
            <w:pPr>
              <w:pStyle w:val="P68B1DB1-Normal6"/>
              <w:spacing w:before="120" w:after="120"/>
              <w:jc w:val="both"/>
            </w:pPr>
            <w:r>
              <w:t>53113 Bona, Alemanha</w:t>
            </w:r>
          </w:p>
        </w:tc>
      </w:tr>
      <w:tr w:rsidR="00F37DA1" w14:paraId="6B1DBB88" w14:textId="77777777">
        <w:trPr>
          <w:jc w:val="center"/>
        </w:trPr>
        <w:tc>
          <w:tcPr>
            <w:tcW w:w="2968" w:type="dxa"/>
            <w:tcBorders>
              <w:top w:val="nil"/>
              <w:left w:val="single" w:sz="4" w:space="0" w:color="auto"/>
              <w:bottom w:val="single" w:sz="4" w:space="0" w:color="auto"/>
              <w:right w:val="nil"/>
            </w:tcBorders>
          </w:tcPr>
          <w:p w14:paraId="276E1077" w14:textId="77777777" w:rsidR="00F37DA1" w:rsidRDefault="00F37DA1">
            <w:pPr>
              <w:spacing w:before="120" w:after="120"/>
              <w:jc w:val="both"/>
              <w:rPr>
                <w:rFonts w:ascii="Arial" w:hAnsi="Arial" w:cs="Arial"/>
                <w:b/>
                <w:sz w:val="22"/>
              </w:rPr>
            </w:pPr>
          </w:p>
        </w:tc>
        <w:tc>
          <w:tcPr>
            <w:tcW w:w="752" w:type="dxa"/>
            <w:tcBorders>
              <w:top w:val="nil"/>
              <w:left w:val="nil"/>
              <w:bottom w:val="single" w:sz="4" w:space="0" w:color="auto"/>
              <w:right w:val="nil"/>
            </w:tcBorders>
            <w:hideMark/>
          </w:tcPr>
          <w:p w14:paraId="447A74A8" w14:textId="77777777" w:rsidR="00F37DA1" w:rsidRDefault="004E7609">
            <w:pPr>
              <w:spacing w:before="120" w:after="120"/>
              <w:jc w:val="both"/>
              <w:rPr>
                <w:rFonts w:ascii="Arial" w:hAnsi="Arial" w:cs="Arial"/>
                <w:sz w:val="22"/>
              </w:rPr>
            </w:pPr>
            <w:r>
              <w:rPr>
                <w:noProof/>
              </w:rPr>
              <w:drawing>
                <wp:inline distT="0" distB="0" distL="0" distR="0" wp14:anchorId="3CA9D567" wp14:editId="028AF404">
                  <wp:extent cx="209550" cy="2095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28DA1930" w14:textId="77777777" w:rsidR="00F37DA1" w:rsidRDefault="004E7609">
            <w:pPr>
              <w:spacing w:before="120" w:after="120"/>
              <w:jc w:val="both"/>
              <w:rPr>
                <w:rFonts w:ascii="Arial" w:hAnsi="Arial" w:cs="Arial"/>
                <w:sz w:val="22"/>
              </w:rPr>
            </w:pPr>
            <w:r>
              <w:rPr>
                <w:noProof/>
              </w:rPr>
              <w:drawing>
                <wp:inline distT="0" distB="0" distL="0" distR="0" wp14:anchorId="1370D2CF" wp14:editId="27BFFE45">
                  <wp:extent cx="20955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13">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52051D34" w14:textId="77777777" w:rsidR="00F37DA1" w:rsidRDefault="004E7609">
            <w:pPr>
              <w:spacing w:before="120" w:after="120"/>
              <w:jc w:val="both"/>
              <w:rPr>
                <w:rFonts w:ascii="Arial" w:hAnsi="Arial" w:cs="Arial"/>
                <w:sz w:val="22"/>
              </w:rPr>
            </w:pPr>
            <w:r>
              <w:rPr>
                <w:noProof/>
              </w:rPr>
              <w:drawing>
                <wp:inline distT="0" distB="0" distL="0" distR="0" wp14:anchorId="371C544F" wp14:editId="0B8A551E">
                  <wp:extent cx="2286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1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5296" w:type="dxa"/>
            <w:tcBorders>
              <w:top w:val="nil"/>
              <w:left w:val="nil"/>
              <w:bottom w:val="single" w:sz="4" w:space="0" w:color="auto"/>
              <w:right w:val="single" w:sz="4" w:space="0" w:color="auto"/>
            </w:tcBorders>
            <w:vAlign w:val="center"/>
            <w:hideMark/>
          </w:tcPr>
          <w:p w14:paraId="293E3AC5" w14:textId="77777777" w:rsidR="00F37DA1" w:rsidRDefault="004E7609">
            <w:pPr>
              <w:pStyle w:val="P68B1DB1-Normal6"/>
              <w:spacing w:before="120" w:after="120"/>
              <w:jc w:val="both"/>
            </w:pPr>
            <w:r>
              <w:t>+49-(0)228-36766-0</w:t>
            </w:r>
          </w:p>
          <w:p w14:paraId="53615A1A" w14:textId="77777777" w:rsidR="00F37DA1" w:rsidRDefault="004E7609">
            <w:pPr>
              <w:pStyle w:val="P68B1DB1-Normal6"/>
              <w:spacing w:before="120" w:after="120"/>
              <w:jc w:val="both"/>
            </w:pPr>
            <w:r>
              <w:t>+49-(0)228-36766-65</w:t>
            </w:r>
          </w:p>
          <w:p w14:paraId="58CA7CAC" w14:textId="77777777" w:rsidR="00F37DA1" w:rsidRDefault="004E7609">
            <w:pPr>
              <w:pStyle w:val="P68B1DB1-Normal6"/>
              <w:spacing w:before="120" w:after="120"/>
              <w:jc w:val="both"/>
            </w:pPr>
            <w:r>
              <w:t>psu@fsc.org</w:t>
            </w:r>
          </w:p>
        </w:tc>
      </w:tr>
      <w:tr w:rsidR="00F37DA1" w14:paraId="17CE7716" w14:textId="77777777">
        <w:trPr>
          <w:trHeight w:val="1914"/>
          <w:jc w:val="center"/>
        </w:trPr>
        <w:tc>
          <w:tcPr>
            <w:tcW w:w="9016" w:type="dxa"/>
            <w:gridSpan w:val="3"/>
            <w:tcBorders>
              <w:top w:val="single" w:sz="4" w:space="0" w:color="auto"/>
              <w:left w:val="single" w:sz="4" w:space="0" w:color="auto"/>
              <w:bottom w:val="single" w:sz="4" w:space="0" w:color="auto"/>
              <w:right w:val="single" w:sz="4" w:space="0" w:color="auto"/>
            </w:tcBorders>
            <w:vAlign w:val="center"/>
          </w:tcPr>
          <w:p w14:paraId="6EB04392" w14:textId="33F38BA5" w:rsidR="00F37DA1" w:rsidRDefault="004E7609">
            <w:pPr>
              <w:pStyle w:val="P68B1DB1-Normal6"/>
              <w:spacing w:before="120" w:after="120"/>
              <w:jc w:val="center"/>
            </w:pPr>
            <w:r>
              <w:t>© 2021 Forest Stewardship Council, AC. Todos os direitos reservados.</w:t>
            </w:r>
          </w:p>
          <w:p w14:paraId="7B1D18EB" w14:textId="77777777" w:rsidR="00F37DA1" w:rsidRDefault="004E7609">
            <w:pPr>
              <w:pStyle w:val="P68B1DB1-Normal1"/>
              <w:spacing w:before="120" w:after="120"/>
              <w:jc w:val="center"/>
              <w:rPr>
                <w:sz w:val="22"/>
              </w:rPr>
            </w:pPr>
            <w:r>
              <w:rPr>
                <w:sz w:val="22"/>
              </w:rPr>
              <w:t>FSC</w:t>
            </w:r>
            <w:r>
              <w:rPr>
                <w:sz w:val="22"/>
                <w:vertAlign w:val="superscript"/>
              </w:rPr>
              <w:t>®</w:t>
            </w:r>
            <w:r>
              <w:rPr>
                <w:b/>
                <w:sz w:val="40"/>
              </w:rPr>
              <w:t xml:space="preserve"> </w:t>
            </w:r>
            <w:r>
              <w:rPr>
                <w:sz w:val="22"/>
              </w:rPr>
              <w:t>F000100</w:t>
            </w:r>
          </w:p>
          <w:p w14:paraId="2651EA55" w14:textId="77777777" w:rsidR="00F37DA1" w:rsidRDefault="00F37DA1">
            <w:pPr>
              <w:spacing w:before="120" w:after="120"/>
              <w:jc w:val="both"/>
              <w:rPr>
                <w:rFonts w:ascii="Arial" w:hAnsi="Arial" w:cs="Arial"/>
                <w:sz w:val="22"/>
              </w:rPr>
            </w:pPr>
          </w:p>
          <w:p w14:paraId="2F977534" w14:textId="77777777" w:rsidR="00F37DA1" w:rsidRDefault="004E7609">
            <w:pPr>
              <w:pStyle w:val="P68B1DB1-Normal6"/>
              <w:spacing w:before="120" w:after="120"/>
              <w:jc w:val="both"/>
            </w:pPr>
            <w:r>
              <w:t>Nenhuma parte deste trabalho coberto pelos direitos autorais da editora pode ser reproduzida ou copiada de qualquer forma ou por qualquer meio (gráfico, eletrônico ou mecânico, incluindo fotocópia, gravação, gravação de fita adesiva ou sistemas de recuperação de informações) sem a permissão por escrito da editora.</w:t>
            </w:r>
          </w:p>
          <w:p w14:paraId="607819D0" w14:textId="77777777" w:rsidR="00F37DA1" w:rsidRDefault="00F37DA1">
            <w:pPr>
              <w:spacing w:before="120" w:after="120"/>
              <w:jc w:val="both"/>
              <w:rPr>
                <w:rFonts w:ascii="Arial" w:hAnsi="Arial" w:cs="Arial"/>
                <w:sz w:val="22"/>
              </w:rPr>
            </w:pPr>
          </w:p>
          <w:p w14:paraId="7A833D2A" w14:textId="77777777" w:rsidR="00F37DA1" w:rsidRDefault="004E7609">
            <w:pPr>
              <w:pStyle w:val="P68B1DB1-Normal6"/>
              <w:spacing w:before="120" w:after="120"/>
              <w:jc w:val="both"/>
            </w:pPr>
            <w:r>
              <w:t>As cópias impressas não são controladas e servem apenas como referência. Por favor, consulte a cópia eletrônica no site do FSC (ic.fsc.org) para garantir que está se referindo à versão mais recente.</w:t>
            </w:r>
          </w:p>
        </w:tc>
      </w:tr>
    </w:tbl>
    <w:p w14:paraId="66BB4029" w14:textId="77777777" w:rsidR="00F37DA1" w:rsidRDefault="00F37DA1">
      <w:pPr>
        <w:spacing w:before="120" w:after="120"/>
        <w:jc w:val="both"/>
        <w:rPr>
          <w:rFonts w:ascii="Arial" w:hAnsi="Arial" w:cs="Arial"/>
          <w:sz w:val="22"/>
        </w:rPr>
      </w:pPr>
    </w:p>
    <w:p w14:paraId="38995570" w14:textId="77777777" w:rsidR="00F37DA1" w:rsidRDefault="00F37DA1">
      <w:pPr>
        <w:spacing w:before="120" w:after="120"/>
        <w:jc w:val="both"/>
        <w:rPr>
          <w:rFonts w:ascii="Arial" w:hAnsi="Arial" w:cs="Arial"/>
          <w:sz w:val="22"/>
        </w:rPr>
      </w:pPr>
    </w:p>
    <w:p w14:paraId="6D6F7CC8" w14:textId="77777777" w:rsidR="00F37DA1" w:rsidRDefault="00F37DA1">
      <w:pPr>
        <w:spacing w:before="120" w:after="120"/>
        <w:jc w:val="both"/>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09"/>
      </w:tblGrid>
      <w:tr w:rsidR="00F37DA1" w14:paraId="5E1E49B4" w14:textId="77777777">
        <w:trPr>
          <w:jc w:val="center"/>
        </w:trPr>
        <w:tc>
          <w:tcPr>
            <w:tcW w:w="9209" w:type="dxa"/>
            <w:vAlign w:val="center"/>
          </w:tcPr>
          <w:p w14:paraId="6912EF5A" w14:textId="77777777" w:rsidR="00F37DA1" w:rsidRDefault="004E7609">
            <w:pPr>
              <w:pStyle w:val="P68B1DB1-Normal6"/>
              <w:spacing w:before="120" w:after="120"/>
              <w:jc w:val="center"/>
            </w:pPr>
            <w:r>
              <w:t>O Forest Stewardship Council (FSC) é uma organização não governamental independente, sem fins lucrativos, criada para promover um manejo ambientalmente adequado, socialmente benéfico e economicamente viável das florestas do mundo.</w:t>
            </w:r>
          </w:p>
          <w:p w14:paraId="167542B7" w14:textId="77777777" w:rsidR="00F37DA1" w:rsidRDefault="00F37DA1">
            <w:pPr>
              <w:spacing w:before="120" w:after="120"/>
              <w:jc w:val="center"/>
              <w:rPr>
                <w:rFonts w:ascii="Arial" w:hAnsi="Arial" w:cs="Arial"/>
                <w:sz w:val="22"/>
              </w:rPr>
            </w:pPr>
          </w:p>
          <w:p w14:paraId="2B8D12FD" w14:textId="77777777" w:rsidR="00F37DA1" w:rsidRDefault="004E7609">
            <w:pPr>
              <w:pStyle w:val="P68B1DB1-Normal6"/>
              <w:spacing w:before="120" w:after="120"/>
              <w:jc w:val="center"/>
            </w:pPr>
            <w:r>
              <w:t>A visão do FSC é onde as florestas do mundo atendem aos direitos e necessidades sociais, ecológicos e econômicos da geração atual sem comprometer os das gerações futuras.</w:t>
            </w:r>
          </w:p>
        </w:tc>
      </w:tr>
    </w:tbl>
    <w:p w14:paraId="4AFE5768" w14:textId="77777777" w:rsidR="00F37DA1" w:rsidRDefault="00F37DA1">
      <w:pPr>
        <w:spacing w:before="120" w:after="120"/>
        <w:jc w:val="both"/>
        <w:rPr>
          <w:rFonts w:ascii="Arial" w:hAnsi="Arial" w:cs="Arial"/>
          <w:sz w:val="22"/>
        </w:rPr>
      </w:pPr>
    </w:p>
    <w:p w14:paraId="1A6C0288" w14:textId="77777777" w:rsidR="00F37DA1" w:rsidRDefault="004E7609">
      <w:pPr>
        <w:spacing w:before="120" w:after="120"/>
        <w:jc w:val="both"/>
        <w:rPr>
          <w:rFonts w:ascii="Arial Black" w:hAnsi="Arial Black" w:cs="Arial"/>
          <w:b/>
          <w:color w:val="285C4D"/>
          <w:sz w:val="26"/>
        </w:rPr>
      </w:pPr>
      <w:r>
        <w:rPr>
          <w:rFonts w:ascii="Arial Bold" w:hAnsi="Arial Bold"/>
          <w:sz w:val="22"/>
        </w:rPr>
        <w:br w:type="page"/>
      </w:r>
      <w:r>
        <w:rPr>
          <w:rFonts w:ascii="Arial Black" w:hAnsi="Arial Black" w:cs="Arial"/>
          <w:b/>
          <w:color w:val="285C4D"/>
          <w:sz w:val="26"/>
        </w:rPr>
        <w:lastRenderedPageBreak/>
        <w:t>Introdução</w:t>
      </w:r>
    </w:p>
    <w:p w14:paraId="70DC1D97" w14:textId="383DDBC2" w:rsidR="00F37DA1" w:rsidRDefault="004E7609">
      <w:pPr>
        <w:pStyle w:val="P68B1DB1-Normal6"/>
        <w:shd w:val="clear" w:color="auto" w:fill="FFFFFF"/>
        <w:jc w:val="both"/>
      </w:pPr>
      <w:r>
        <w:t>O FSC busca melhorar o acesso e a aceitação do sistema FSC pelas comunidades e proprietários de pequenas florestas. O sistema FSC consiste em Princípios e Critérios (P&amp;C) comuns para a certificação de todas as Unidades de Manejo globalmente, independentemente de seu tamanho, propriedade, condições socioeconômicas ou tipos de sistemas florestais. Apesar da aplicação dos conceitos de escala, intensidade e risco e manejo florestal em pequena escala e de baixa intensidade (SLIMF) na estrutura normativa do FSC, para pequenos proprietários e comunidades, particularmente em países tropicais, a conformidade com os requisitos do FSC ainda é um grande desafio e envolve um grande investimento em comparação com o benefício econômico que a certificação FSC pode oferecer.</w:t>
      </w:r>
    </w:p>
    <w:p w14:paraId="47682BEE" w14:textId="77777777" w:rsidR="00F37DA1" w:rsidRDefault="00F37DA1">
      <w:pPr>
        <w:jc w:val="both"/>
        <w:rPr>
          <w:rFonts w:ascii="Arial" w:hAnsi="Arial" w:cs="Arial"/>
          <w:sz w:val="22"/>
        </w:rPr>
      </w:pPr>
    </w:p>
    <w:p w14:paraId="3EBBFCEB" w14:textId="11112404" w:rsidR="00F37DA1" w:rsidRDefault="004E7609">
      <w:pPr>
        <w:pStyle w:val="P68B1DB1-Normal6"/>
        <w:jc w:val="both"/>
      </w:pPr>
      <w:r>
        <w:t xml:space="preserve">Para superar esses desafios, o FSC vem desenvolvendo este </w:t>
      </w:r>
      <w:r w:rsidR="00D4243E">
        <w:rPr>
          <w:i/>
        </w:rPr>
        <w:t xml:space="preserve">Procedimento </w:t>
      </w:r>
      <w:r>
        <w:rPr>
          <w:i/>
        </w:rPr>
        <w:t xml:space="preserve">de Melhoria Contínua </w:t>
      </w:r>
      <w:r>
        <w:t>(PMC) que permite que seus usuários sejam certificados com base na conformidade com apenas um subconjunto de requisitos de manejo florestal, oferecendo etapas flexíveis para a conformidade com os requisitos restantes dentro de um prazo definido.</w:t>
      </w:r>
    </w:p>
    <w:p w14:paraId="0AD48DE8" w14:textId="77777777" w:rsidR="00F37DA1" w:rsidRDefault="00F37DA1">
      <w:pPr>
        <w:jc w:val="both"/>
        <w:rPr>
          <w:rFonts w:ascii="Arial" w:hAnsi="Arial" w:cs="Arial"/>
          <w:sz w:val="22"/>
        </w:rPr>
      </w:pPr>
    </w:p>
    <w:p w14:paraId="356B07BD" w14:textId="52AC9841" w:rsidR="00F37DA1" w:rsidRDefault="004E7609">
      <w:pPr>
        <w:pStyle w:val="P68B1DB1-Normal6"/>
        <w:jc w:val="both"/>
      </w:pPr>
      <w:r>
        <w:t xml:space="preserve">Portanto, o </w:t>
      </w:r>
      <w:r w:rsidR="00D4243E">
        <w:t xml:space="preserve">procedimento </w:t>
      </w:r>
      <w:r>
        <w:t>convida os pequenos produtores e as comunidades a se tornarem parte da comunidade global de detentores de certificados do FSC sem ter um manejo responsável perfeito em vigor. É suficiente ter iniciado e implementado medidas cruciais e se comprometer a continuar no caminho da sustentabilidade, melhorando continuamente as práticas de manejo florestal para, em última instância, estar em conformidade com todos os requisitos do padrão FSC em 5 anos.</w:t>
      </w:r>
    </w:p>
    <w:p w14:paraId="418BD54C" w14:textId="77777777" w:rsidR="00F37DA1" w:rsidRDefault="00F37DA1">
      <w:pPr>
        <w:jc w:val="both"/>
        <w:rPr>
          <w:rFonts w:ascii="Arial" w:hAnsi="Arial" w:cs="Arial"/>
          <w:sz w:val="22"/>
        </w:rPr>
      </w:pPr>
    </w:p>
    <w:p w14:paraId="4CE29AF7" w14:textId="4259C676" w:rsidR="00F37DA1" w:rsidRDefault="004E7609">
      <w:pPr>
        <w:pStyle w:val="P68B1DB1-Normal6"/>
        <w:jc w:val="both"/>
      </w:pPr>
      <w:r>
        <w:t xml:space="preserve">Espera-se que o benefício econômico da certificação FSC permita ao usuário do PMC cobrir seu investimento necessário para o manejo florestal responsável e a certificação FSC durante o primeiro ciclo de certificação. A implementação deste </w:t>
      </w:r>
      <w:r w:rsidR="00D4243E">
        <w:t xml:space="preserve">procedimento </w:t>
      </w:r>
      <w:r>
        <w:t xml:space="preserve">também facilitará o processo de aprendizagem necessário para estar em conformidade com os requisitos do FSC. </w:t>
      </w:r>
    </w:p>
    <w:p w14:paraId="6F34278C" w14:textId="77777777" w:rsidR="00F37DA1" w:rsidRDefault="00F37DA1">
      <w:pPr>
        <w:spacing w:before="120" w:after="120"/>
        <w:rPr>
          <w:rFonts w:ascii="Arial" w:hAnsi="Arial" w:cs="Arial"/>
          <w:i/>
          <w:sz w:val="22"/>
        </w:rPr>
      </w:pPr>
    </w:p>
    <w:p w14:paraId="53C1EF70" w14:textId="20F9EF27" w:rsidR="00F37DA1" w:rsidRDefault="004E7609">
      <w:pPr>
        <w:pStyle w:val="P68B1DB1-Normal8"/>
        <w:jc w:val="both"/>
      </w:pPr>
      <w:r>
        <w:t xml:space="preserve">O conceito do PMC distingue entre Critérios </w:t>
      </w:r>
      <w:r w:rsidR="00401090">
        <w:t>Centrais</w:t>
      </w:r>
      <w:r>
        <w:t xml:space="preserve">, de Melhoria Contínua e Camaleão que devem ser </w:t>
      </w:r>
      <w:r w:rsidR="00D4243E">
        <w:t xml:space="preserve">atendidos </w:t>
      </w:r>
      <w:r>
        <w:t xml:space="preserve">em diferentes </w:t>
      </w:r>
      <w:r w:rsidR="00D4243E">
        <w:t>momentos</w:t>
      </w:r>
      <w:r>
        <w:t xml:space="preserve">. O usuário do PMC deve atender aos </w:t>
      </w:r>
      <w:r w:rsidR="00D4243E">
        <w:t xml:space="preserve">Critérios </w:t>
      </w:r>
      <w:r w:rsidR="00401090">
        <w:t>Centrais</w:t>
      </w:r>
      <w:r w:rsidR="00D4243E">
        <w:t xml:space="preserve"> </w:t>
      </w:r>
      <w:r>
        <w:t xml:space="preserve">e ter um </w:t>
      </w:r>
      <w:r w:rsidR="005B50B0">
        <w:t xml:space="preserve">Plano </w:t>
      </w:r>
      <w:r>
        <w:t xml:space="preserve">de </w:t>
      </w:r>
      <w:r w:rsidR="005B50B0">
        <w:t xml:space="preserve">Ação </w:t>
      </w:r>
      <w:r>
        <w:t xml:space="preserve">para obter a certificação FSC na fase inicial do processo. Para manter a certificação, os Critérios de Melhoria Contínua e os Critérios Camaleão devem ser atendidos de acordo com o caminho estabelecido no Plano de Ação durante o primeiro ciclo de certificação de cada Unidade de Manejo. </w:t>
      </w:r>
    </w:p>
    <w:p w14:paraId="61F970DF" w14:textId="77777777" w:rsidR="00F37DA1" w:rsidRDefault="004E7609">
      <w:pPr>
        <w:pStyle w:val="P68B1DB1-Normal8"/>
        <w:spacing w:before="120" w:after="120"/>
      </w:pPr>
      <w:r>
        <w:t>Figura 1: Conceito de melhoria contínua.</w:t>
      </w:r>
    </w:p>
    <w:p w14:paraId="2CC5F22D" w14:textId="0C32C4AE" w:rsidR="00F37DA1" w:rsidRDefault="00F37DA1">
      <w:pPr>
        <w:pStyle w:val="P68B1DB1-Normal1"/>
        <w:jc w:val="center"/>
      </w:pPr>
    </w:p>
    <w:p w14:paraId="317E63A2" w14:textId="665B6FF6" w:rsidR="00F37DA1" w:rsidRDefault="007D5425" w:rsidP="00DB3C6B">
      <w:pPr>
        <w:jc w:val="center"/>
        <w:rPr>
          <w:rFonts w:ascii="Arial" w:hAnsi="Arial" w:cs="Arial"/>
        </w:rPr>
      </w:pPr>
      <w:r>
        <w:rPr>
          <w:rFonts w:ascii="Arial" w:hAnsi="Arial" w:cs="Arial"/>
          <w:noProof/>
        </w:rPr>
        <w:drawing>
          <wp:inline distT="0" distB="0" distL="0" distR="0" wp14:anchorId="46B864C4" wp14:editId="78FC80A3">
            <wp:extent cx="5181710" cy="267227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360" cy="2680861"/>
                    </a:xfrm>
                    <a:prstGeom prst="rect">
                      <a:avLst/>
                    </a:prstGeom>
                    <a:noFill/>
                  </pic:spPr>
                </pic:pic>
              </a:graphicData>
            </a:graphic>
          </wp:inline>
        </w:drawing>
      </w:r>
    </w:p>
    <w:p w14:paraId="21684249" w14:textId="37C3A6D6" w:rsidR="00F37DA1" w:rsidRDefault="00F37DA1">
      <w:pPr>
        <w:rPr>
          <w:rFonts w:ascii="Arial" w:hAnsi="Arial" w:cs="Arial"/>
        </w:rPr>
      </w:pPr>
    </w:p>
    <w:p w14:paraId="67E4420C" w14:textId="3AC6AC30" w:rsidR="00F37DA1" w:rsidRDefault="00F37DA1">
      <w:pPr>
        <w:rPr>
          <w:rFonts w:ascii="Arial" w:hAnsi="Arial" w:cs="Arial"/>
        </w:rPr>
      </w:pPr>
    </w:p>
    <w:p w14:paraId="72C88181" w14:textId="111D2A6D" w:rsidR="00F37DA1" w:rsidRDefault="00F37DA1">
      <w:pPr>
        <w:rPr>
          <w:rFonts w:ascii="Arial" w:hAnsi="Arial" w:cs="Arial"/>
        </w:rPr>
      </w:pPr>
    </w:p>
    <w:p w14:paraId="6B2FBC29" w14:textId="77777777" w:rsidR="00F37DA1" w:rsidRDefault="00F37DA1">
      <w:pPr>
        <w:rPr>
          <w:rFonts w:ascii="Arial" w:hAnsi="Arial" w:cs="Arial"/>
        </w:rPr>
      </w:pPr>
    </w:p>
    <w:sdt>
      <w:sdtPr>
        <w:rPr>
          <w:rFonts w:ascii="Arial Black" w:eastAsiaTheme="minorEastAsia" w:hAnsi="Arial Black" w:cs="Arial"/>
          <w:b w:val="0"/>
          <w:color w:val="auto"/>
          <w:sz w:val="24"/>
          <w:lang w:val="en-GB"/>
        </w:rPr>
        <w:id w:val="907111937"/>
        <w:docPartObj>
          <w:docPartGallery w:val="Table of Contents"/>
          <w:docPartUnique/>
        </w:docPartObj>
      </w:sdtPr>
      <w:sdtEndPr>
        <w:rPr>
          <w:rFonts w:ascii="Arial" w:hAnsi="Arial"/>
        </w:rPr>
      </w:sdtEndPr>
      <w:sdtContent>
        <w:p w14:paraId="548999D8" w14:textId="3A7436A4" w:rsidR="00F37DA1" w:rsidRDefault="004E7609">
          <w:pPr>
            <w:pStyle w:val="P68B1DB1-TtuloTDC9"/>
            <w:rPr>
              <w:rFonts w:ascii="Arial" w:hAnsi="Arial" w:cs="Arial"/>
              <w:sz w:val="22"/>
            </w:rPr>
          </w:pPr>
          <w:r>
            <w:rPr>
              <w:rFonts w:ascii="Arial Black" w:hAnsi="Arial Black" w:cs="Arial"/>
              <w:sz w:val="24"/>
            </w:rPr>
            <w:t>Conteúdo</w:t>
          </w:r>
        </w:p>
        <w:p w14:paraId="10312D4B" w14:textId="7F2D7E13" w:rsidR="00F95788" w:rsidRPr="00F95788" w:rsidRDefault="004E7609" w:rsidP="00371900">
          <w:pPr>
            <w:pStyle w:val="P68B1DB1-TDC110"/>
            <w:rPr>
              <w:noProof/>
            </w:rPr>
          </w:pPr>
          <w:r w:rsidRPr="00F95788">
            <w:fldChar w:fldCharType="begin"/>
          </w:r>
          <w:r w:rsidRPr="00F95788">
            <w:instrText xml:space="preserve"> TOC \o "1-3" \h \z \u </w:instrText>
          </w:r>
          <w:r w:rsidRPr="00F95788">
            <w:fldChar w:fldCharType="separate"/>
          </w:r>
        </w:p>
        <w:p w14:paraId="49A33F75" w14:textId="211E9FED" w:rsidR="00F95788" w:rsidRPr="00F95788" w:rsidRDefault="00F95788">
          <w:pPr>
            <w:pStyle w:val="Sumrio1"/>
            <w:rPr>
              <w:rFonts w:cs="Arial"/>
              <w:noProof/>
              <w:szCs w:val="22"/>
            </w:rPr>
          </w:pPr>
          <w:hyperlink w:anchor="_Toc76736520" w:history="1">
            <w:r w:rsidRPr="00F95788">
              <w:rPr>
                <w:rStyle w:val="Hyperlink"/>
                <w:rFonts w:cs="Arial"/>
                <w:noProof/>
              </w:rPr>
              <w:t>A Objetivo</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_Toc76736520 \h </w:instrText>
            </w:r>
            <w:r w:rsidRPr="00F95788">
              <w:rPr>
                <w:rFonts w:cs="Arial"/>
                <w:noProof/>
                <w:webHidden/>
              </w:rPr>
            </w:r>
            <w:r w:rsidRPr="00F95788">
              <w:rPr>
                <w:rFonts w:cs="Arial"/>
                <w:noProof/>
                <w:webHidden/>
              </w:rPr>
              <w:fldChar w:fldCharType="separate"/>
            </w:r>
            <w:r w:rsidRPr="00F95788">
              <w:rPr>
                <w:rFonts w:cs="Arial"/>
                <w:noProof/>
                <w:webHidden/>
              </w:rPr>
              <w:t>5</w:t>
            </w:r>
            <w:r w:rsidRPr="00F95788">
              <w:rPr>
                <w:rFonts w:cs="Arial"/>
                <w:noProof/>
                <w:webHidden/>
              </w:rPr>
              <w:fldChar w:fldCharType="end"/>
            </w:r>
          </w:hyperlink>
        </w:p>
        <w:p w14:paraId="16C64199" w14:textId="4715ED87" w:rsidR="00F95788" w:rsidRPr="00F95788" w:rsidRDefault="00F95788">
          <w:pPr>
            <w:pStyle w:val="Sumrio1"/>
            <w:rPr>
              <w:rFonts w:cs="Arial"/>
              <w:noProof/>
              <w:szCs w:val="22"/>
            </w:rPr>
          </w:pPr>
          <w:hyperlink w:anchor="_Toc76736521" w:history="1">
            <w:r w:rsidRPr="00F95788">
              <w:rPr>
                <w:rStyle w:val="Hyperlink"/>
                <w:rFonts w:cs="Arial"/>
                <w:noProof/>
              </w:rPr>
              <w:t>B Escopo</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_Toc76736521 \h </w:instrText>
            </w:r>
            <w:r w:rsidRPr="00F95788">
              <w:rPr>
                <w:rFonts w:cs="Arial"/>
                <w:noProof/>
                <w:webHidden/>
              </w:rPr>
            </w:r>
            <w:r w:rsidRPr="00F95788">
              <w:rPr>
                <w:rFonts w:cs="Arial"/>
                <w:noProof/>
                <w:webHidden/>
              </w:rPr>
              <w:fldChar w:fldCharType="separate"/>
            </w:r>
            <w:r w:rsidRPr="00F95788">
              <w:rPr>
                <w:rFonts w:cs="Arial"/>
                <w:noProof/>
                <w:webHidden/>
              </w:rPr>
              <w:t>5</w:t>
            </w:r>
            <w:r w:rsidRPr="00F95788">
              <w:rPr>
                <w:rFonts w:cs="Arial"/>
                <w:noProof/>
                <w:webHidden/>
              </w:rPr>
              <w:fldChar w:fldCharType="end"/>
            </w:r>
          </w:hyperlink>
        </w:p>
        <w:p w14:paraId="4ECF591B" w14:textId="157FB2B4" w:rsidR="00F95788" w:rsidRPr="00F95788" w:rsidRDefault="00F95788">
          <w:pPr>
            <w:pStyle w:val="Sumrio1"/>
            <w:rPr>
              <w:rFonts w:cs="Arial"/>
              <w:noProof/>
              <w:szCs w:val="22"/>
            </w:rPr>
          </w:pPr>
          <w:hyperlink w:anchor="_Toc76736522" w:history="1">
            <w:r w:rsidRPr="00F95788">
              <w:rPr>
                <w:rStyle w:val="Hyperlink"/>
                <w:rFonts w:cs="Arial"/>
                <w:noProof/>
              </w:rPr>
              <w:t>C Data de vigência e validade</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_Toc76736522 \h </w:instrText>
            </w:r>
            <w:r w:rsidRPr="00F95788">
              <w:rPr>
                <w:rFonts w:cs="Arial"/>
                <w:noProof/>
                <w:webHidden/>
              </w:rPr>
            </w:r>
            <w:r w:rsidRPr="00F95788">
              <w:rPr>
                <w:rFonts w:cs="Arial"/>
                <w:noProof/>
                <w:webHidden/>
              </w:rPr>
              <w:fldChar w:fldCharType="separate"/>
            </w:r>
            <w:r w:rsidRPr="00F95788">
              <w:rPr>
                <w:rFonts w:cs="Arial"/>
                <w:noProof/>
                <w:webHidden/>
              </w:rPr>
              <w:t>5</w:t>
            </w:r>
            <w:r w:rsidRPr="00F95788">
              <w:rPr>
                <w:rFonts w:cs="Arial"/>
                <w:noProof/>
                <w:webHidden/>
              </w:rPr>
              <w:fldChar w:fldCharType="end"/>
            </w:r>
          </w:hyperlink>
        </w:p>
        <w:p w14:paraId="039A4870" w14:textId="49059001" w:rsidR="00F95788" w:rsidRPr="00F95788" w:rsidRDefault="00F95788">
          <w:pPr>
            <w:pStyle w:val="Sumrio1"/>
            <w:rPr>
              <w:rFonts w:cs="Arial"/>
              <w:noProof/>
              <w:szCs w:val="22"/>
            </w:rPr>
          </w:pPr>
          <w:hyperlink w:anchor="_Toc76736523" w:history="1">
            <w:r w:rsidRPr="00F95788">
              <w:rPr>
                <w:rStyle w:val="Hyperlink"/>
                <w:rFonts w:cs="Arial"/>
                <w:noProof/>
              </w:rPr>
              <w:t>D Referências</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_Toc76736523 \h </w:instrText>
            </w:r>
            <w:r w:rsidRPr="00F95788">
              <w:rPr>
                <w:rFonts w:cs="Arial"/>
                <w:noProof/>
                <w:webHidden/>
              </w:rPr>
            </w:r>
            <w:r w:rsidRPr="00F95788">
              <w:rPr>
                <w:rFonts w:cs="Arial"/>
                <w:noProof/>
                <w:webHidden/>
              </w:rPr>
              <w:fldChar w:fldCharType="separate"/>
            </w:r>
            <w:r w:rsidRPr="00F95788">
              <w:rPr>
                <w:rFonts w:cs="Arial"/>
                <w:noProof/>
                <w:webHidden/>
              </w:rPr>
              <w:t>5</w:t>
            </w:r>
            <w:r w:rsidRPr="00F95788">
              <w:rPr>
                <w:rFonts w:cs="Arial"/>
                <w:noProof/>
                <w:webHidden/>
              </w:rPr>
              <w:fldChar w:fldCharType="end"/>
            </w:r>
          </w:hyperlink>
        </w:p>
        <w:p w14:paraId="50D9AC2E" w14:textId="45DE0ED7" w:rsidR="00F95788" w:rsidRPr="00F95788" w:rsidRDefault="00F95788">
          <w:pPr>
            <w:pStyle w:val="Sumrio1"/>
            <w:rPr>
              <w:rFonts w:cs="Arial"/>
              <w:noProof/>
              <w:szCs w:val="22"/>
            </w:rPr>
          </w:pPr>
          <w:hyperlink w:anchor="_Toc76736524" w:history="1">
            <w:r w:rsidRPr="00F95788">
              <w:rPr>
                <w:rStyle w:val="Hyperlink"/>
                <w:rFonts w:cs="Arial"/>
                <w:noProof/>
              </w:rPr>
              <w:t>E Termos e Definições</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_Toc76736524 \h </w:instrText>
            </w:r>
            <w:r w:rsidRPr="00F95788">
              <w:rPr>
                <w:rFonts w:cs="Arial"/>
                <w:noProof/>
                <w:webHidden/>
              </w:rPr>
            </w:r>
            <w:r w:rsidRPr="00F95788">
              <w:rPr>
                <w:rFonts w:cs="Arial"/>
                <w:noProof/>
                <w:webHidden/>
              </w:rPr>
              <w:fldChar w:fldCharType="separate"/>
            </w:r>
            <w:r w:rsidRPr="00F95788">
              <w:rPr>
                <w:rFonts w:cs="Arial"/>
                <w:noProof/>
                <w:webHidden/>
              </w:rPr>
              <w:t>5</w:t>
            </w:r>
            <w:r w:rsidRPr="00F95788">
              <w:rPr>
                <w:rFonts w:cs="Arial"/>
                <w:noProof/>
                <w:webHidden/>
              </w:rPr>
              <w:fldChar w:fldCharType="end"/>
            </w:r>
          </w:hyperlink>
        </w:p>
        <w:p w14:paraId="49AF4317" w14:textId="1F49D710" w:rsidR="00F95788" w:rsidRPr="00F95788" w:rsidRDefault="00F95788">
          <w:pPr>
            <w:pStyle w:val="Sumrio1"/>
            <w:rPr>
              <w:rFonts w:cs="Arial"/>
              <w:noProof/>
              <w:szCs w:val="22"/>
            </w:rPr>
          </w:pPr>
          <w:hyperlink w:anchor="_Toc76736525" w:history="1">
            <w:r w:rsidRPr="00F95788">
              <w:rPr>
                <w:rStyle w:val="Hyperlink"/>
                <w:rFonts w:cs="Arial"/>
                <w:noProof/>
              </w:rPr>
              <w:t>PARTE I Requisitos para usuários de Processos de Melhoria Contínua</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_Toc76736525 \h </w:instrText>
            </w:r>
            <w:r w:rsidRPr="00F95788">
              <w:rPr>
                <w:rFonts w:cs="Arial"/>
                <w:noProof/>
                <w:webHidden/>
              </w:rPr>
            </w:r>
            <w:r w:rsidRPr="00F95788">
              <w:rPr>
                <w:rFonts w:cs="Arial"/>
                <w:noProof/>
                <w:webHidden/>
              </w:rPr>
              <w:fldChar w:fldCharType="separate"/>
            </w:r>
            <w:r w:rsidRPr="00F95788">
              <w:rPr>
                <w:rFonts w:cs="Arial"/>
                <w:noProof/>
                <w:webHidden/>
              </w:rPr>
              <w:t>9</w:t>
            </w:r>
            <w:r w:rsidRPr="00F95788">
              <w:rPr>
                <w:rFonts w:cs="Arial"/>
                <w:noProof/>
                <w:webHidden/>
              </w:rPr>
              <w:fldChar w:fldCharType="end"/>
            </w:r>
          </w:hyperlink>
        </w:p>
        <w:p w14:paraId="63ADB626" w14:textId="5790075B" w:rsidR="00F95788" w:rsidRPr="00F95788" w:rsidRDefault="00F95788">
          <w:pPr>
            <w:pStyle w:val="Sumrio2"/>
            <w:tabs>
              <w:tab w:val="left" w:pos="660"/>
              <w:tab w:val="right" w:leader="dot" w:pos="9913"/>
            </w:tabs>
            <w:rPr>
              <w:rFonts w:ascii="Arial" w:hAnsi="Arial" w:cs="Arial"/>
              <w:noProof/>
              <w:sz w:val="22"/>
              <w:szCs w:val="22"/>
            </w:rPr>
          </w:pPr>
          <w:hyperlink w:anchor="_Toc76736526" w:history="1">
            <w:r w:rsidRPr="00F95788">
              <w:rPr>
                <w:rStyle w:val="Hyperlink"/>
                <w:rFonts w:ascii="Arial" w:hAnsi="Arial" w:cs="Arial"/>
                <w:noProof/>
              </w:rPr>
              <w:t>1.</w:t>
            </w:r>
            <w:r w:rsidRPr="00F95788">
              <w:rPr>
                <w:rFonts w:ascii="Arial" w:hAnsi="Arial" w:cs="Arial"/>
                <w:noProof/>
                <w:sz w:val="22"/>
                <w:szCs w:val="22"/>
              </w:rPr>
              <w:tab/>
            </w:r>
            <w:r w:rsidRPr="00F95788">
              <w:rPr>
                <w:rStyle w:val="Hyperlink"/>
                <w:rFonts w:ascii="Arial" w:hAnsi="Arial" w:cs="Arial"/>
                <w:noProof/>
              </w:rPr>
              <w:t>Autoavaliação inicial</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_Toc76736526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9</w:t>
            </w:r>
            <w:r w:rsidRPr="00F95788">
              <w:rPr>
                <w:rFonts w:ascii="Arial" w:hAnsi="Arial" w:cs="Arial"/>
                <w:noProof/>
                <w:webHidden/>
              </w:rPr>
              <w:fldChar w:fldCharType="end"/>
            </w:r>
          </w:hyperlink>
        </w:p>
        <w:p w14:paraId="1A31C61E" w14:textId="32D68E03" w:rsidR="00F95788" w:rsidRPr="00F95788" w:rsidRDefault="00F95788">
          <w:pPr>
            <w:pStyle w:val="Sumrio2"/>
            <w:tabs>
              <w:tab w:val="left" w:pos="660"/>
              <w:tab w:val="right" w:leader="dot" w:pos="9913"/>
            </w:tabs>
            <w:rPr>
              <w:rFonts w:ascii="Arial" w:hAnsi="Arial" w:cs="Arial"/>
              <w:noProof/>
              <w:sz w:val="22"/>
              <w:szCs w:val="22"/>
            </w:rPr>
          </w:pPr>
          <w:hyperlink w:anchor="_Toc76736527" w:history="1">
            <w:r w:rsidRPr="00F95788">
              <w:rPr>
                <w:rStyle w:val="Hyperlink"/>
                <w:rFonts w:ascii="Arial" w:hAnsi="Arial" w:cs="Arial"/>
                <w:noProof/>
              </w:rPr>
              <w:t>2.</w:t>
            </w:r>
            <w:r w:rsidRPr="00F95788">
              <w:rPr>
                <w:rFonts w:ascii="Arial" w:hAnsi="Arial" w:cs="Arial"/>
                <w:noProof/>
                <w:sz w:val="22"/>
                <w:szCs w:val="22"/>
              </w:rPr>
              <w:tab/>
            </w:r>
            <w:r w:rsidRPr="00F95788">
              <w:rPr>
                <w:rStyle w:val="Hyperlink"/>
                <w:rFonts w:ascii="Arial" w:hAnsi="Arial" w:cs="Arial"/>
                <w:noProof/>
              </w:rPr>
              <w:t>Desenvolvimento do Plano de Ação</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_Toc76736527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9</w:t>
            </w:r>
            <w:r w:rsidRPr="00F95788">
              <w:rPr>
                <w:rFonts w:ascii="Arial" w:hAnsi="Arial" w:cs="Arial"/>
                <w:noProof/>
                <w:webHidden/>
              </w:rPr>
              <w:fldChar w:fldCharType="end"/>
            </w:r>
          </w:hyperlink>
        </w:p>
        <w:p w14:paraId="028A3F79" w14:textId="06DA48B3" w:rsidR="00F95788" w:rsidRPr="00F95788" w:rsidRDefault="00F95788">
          <w:pPr>
            <w:pStyle w:val="Sumrio2"/>
            <w:tabs>
              <w:tab w:val="left" w:pos="660"/>
              <w:tab w:val="right" w:leader="dot" w:pos="9913"/>
            </w:tabs>
            <w:rPr>
              <w:rFonts w:ascii="Arial" w:hAnsi="Arial" w:cs="Arial"/>
              <w:noProof/>
              <w:sz w:val="22"/>
              <w:szCs w:val="22"/>
            </w:rPr>
          </w:pPr>
          <w:hyperlink w:anchor="_Toc76736528" w:history="1">
            <w:r w:rsidRPr="00F95788">
              <w:rPr>
                <w:rStyle w:val="Hyperlink"/>
                <w:rFonts w:ascii="Arial" w:hAnsi="Arial" w:cs="Arial"/>
                <w:noProof/>
              </w:rPr>
              <w:t>3.</w:t>
            </w:r>
            <w:r w:rsidRPr="00F95788">
              <w:rPr>
                <w:rFonts w:ascii="Arial" w:hAnsi="Arial" w:cs="Arial"/>
                <w:noProof/>
                <w:sz w:val="22"/>
                <w:szCs w:val="22"/>
              </w:rPr>
              <w:tab/>
            </w:r>
            <w:r w:rsidRPr="00F95788">
              <w:rPr>
                <w:rStyle w:val="Hyperlink"/>
                <w:rFonts w:ascii="Arial" w:hAnsi="Arial" w:cs="Arial"/>
                <w:noProof/>
              </w:rPr>
              <w:t>Avaliação principal</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_Toc76736528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12</w:t>
            </w:r>
            <w:r w:rsidRPr="00F95788">
              <w:rPr>
                <w:rFonts w:ascii="Arial" w:hAnsi="Arial" w:cs="Arial"/>
                <w:noProof/>
                <w:webHidden/>
              </w:rPr>
              <w:fldChar w:fldCharType="end"/>
            </w:r>
          </w:hyperlink>
        </w:p>
        <w:p w14:paraId="0CB1BEE1" w14:textId="6D0D3BD6" w:rsidR="00F95788" w:rsidRPr="00F95788" w:rsidRDefault="00F95788">
          <w:pPr>
            <w:pStyle w:val="Sumrio2"/>
            <w:tabs>
              <w:tab w:val="left" w:pos="660"/>
              <w:tab w:val="right" w:leader="dot" w:pos="9913"/>
            </w:tabs>
            <w:rPr>
              <w:rFonts w:ascii="Arial" w:hAnsi="Arial" w:cs="Arial"/>
              <w:noProof/>
              <w:sz w:val="22"/>
              <w:szCs w:val="22"/>
            </w:rPr>
          </w:pPr>
          <w:hyperlink w:anchor="_Toc76736529" w:history="1">
            <w:r w:rsidRPr="00F95788">
              <w:rPr>
                <w:rStyle w:val="Hyperlink"/>
                <w:rFonts w:ascii="Arial" w:hAnsi="Arial" w:cs="Arial"/>
                <w:noProof/>
              </w:rPr>
              <w:t>4.</w:t>
            </w:r>
            <w:r w:rsidRPr="00F95788">
              <w:rPr>
                <w:rFonts w:ascii="Arial" w:hAnsi="Arial" w:cs="Arial"/>
                <w:noProof/>
                <w:sz w:val="22"/>
                <w:szCs w:val="22"/>
              </w:rPr>
              <w:tab/>
            </w:r>
            <w:r w:rsidRPr="00F95788">
              <w:rPr>
                <w:rStyle w:val="Hyperlink"/>
                <w:rFonts w:ascii="Arial" w:hAnsi="Arial" w:cs="Arial"/>
                <w:noProof/>
              </w:rPr>
              <w:t>Automonitoramento</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_Toc76736529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12</w:t>
            </w:r>
            <w:r w:rsidRPr="00F95788">
              <w:rPr>
                <w:rFonts w:ascii="Arial" w:hAnsi="Arial" w:cs="Arial"/>
                <w:noProof/>
                <w:webHidden/>
              </w:rPr>
              <w:fldChar w:fldCharType="end"/>
            </w:r>
          </w:hyperlink>
        </w:p>
        <w:p w14:paraId="19F480E1" w14:textId="1DAB22E1" w:rsidR="00F95788" w:rsidRPr="00F95788" w:rsidRDefault="00F95788">
          <w:pPr>
            <w:pStyle w:val="Sumrio2"/>
            <w:tabs>
              <w:tab w:val="left" w:pos="660"/>
              <w:tab w:val="right" w:leader="dot" w:pos="9913"/>
            </w:tabs>
            <w:rPr>
              <w:rFonts w:ascii="Arial" w:hAnsi="Arial" w:cs="Arial"/>
              <w:noProof/>
              <w:sz w:val="22"/>
              <w:szCs w:val="22"/>
            </w:rPr>
          </w:pPr>
          <w:hyperlink w:anchor="_Toc76736530" w:history="1">
            <w:r w:rsidRPr="00F95788">
              <w:rPr>
                <w:rStyle w:val="Hyperlink"/>
                <w:rFonts w:ascii="Arial" w:hAnsi="Arial" w:cs="Arial"/>
                <w:noProof/>
              </w:rPr>
              <w:t>5.</w:t>
            </w:r>
            <w:r w:rsidRPr="00F95788">
              <w:rPr>
                <w:rFonts w:ascii="Arial" w:hAnsi="Arial" w:cs="Arial"/>
                <w:noProof/>
                <w:sz w:val="22"/>
                <w:szCs w:val="22"/>
              </w:rPr>
              <w:tab/>
            </w:r>
            <w:r w:rsidRPr="00F95788">
              <w:rPr>
                <w:rStyle w:val="Hyperlink"/>
                <w:rFonts w:ascii="Arial" w:hAnsi="Arial" w:cs="Arial"/>
                <w:noProof/>
              </w:rPr>
              <w:t>Aplicando o conceito de Melhoria Contínua em grupos de manejo florestal</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_Toc76736530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13</w:t>
            </w:r>
            <w:r w:rsidRPr="00F95788">
              <w:rPr>
                <w:rFonts w:ascii="Arial" w:hAnsi="Arial" w:cs="Arial"/>
                <w:noProof/>
                <w:webHidden/>
              </w:rPr>
              <w:fldChar w:fldCharType="end"/>
            </w:r>
          </w:hyperlink>
        </w:p>
        <w:p w14:paraId="5400F89E" w14:textId="2D9FD44D" w:rsidR="00F95788" w:rsidRPr="00F95788" w:rsidRDefault="00F95788">
          <w:pPr>
            <w:pStyle w:val="Sumrio1"/>
            <w:rPr>
              <w:rFonts w:cs="Arial"/>
              <w:noProof/>
              <w:szCs w:val="22"/>
            </w:rPr>
          </w:pPr>
          <w:hyperlink w:anchor="_Toc76736531" w:history="1">
            <w:r w:rsidRPr="00F95788">
              <w:rPr>
                <w:rStyle w:val="Hyperlink"/>
                <w:rFonts w:cs="Arial"/>
                <w:noProof/>
              </w:rPr>
              <w:t>PARTE II Requisitos para os organismos de certificação</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_Toc76736531 \h </w:instrText>
            </w:r>
            <w:r w:rsidRPr="00F95788">
              <w:rPr>
                <w:rFonts w:cs="Arial"/>
                <w:noProof/>
                <w:webHidden/>
              </w:rPr>
            </w:r>
            <w:r w:rsidRPr="00F95788">
              <w:rPr>
                <w:rFonts w:cs="Arial"/>
                <w:noProof/>
                <w:webHidden/>
              </w:rPr>
              <w:fldChar w:fldCharType="separate"/>
            </w:r>
            <w:r w:rsidRPr="00F95788">
              <w:rPr>
                <w:rFonts w:cs="Arial"/>
                <w:noProof/>
                <w:webHidden/>
              </w:rPr>
              <w:t>15</w:t>
            </w:r>
            <w:r w:rsidRPr="00F95788">
              <w:rPr>
                <w:rFonts w:cs="Arial"/>
                <w:noProof/>
                <w:webHidden/>
              </w:rPr>
              <w:fldChar w:fldCharType="end"/>
            </w:r>
          </w:hyperlink>
        </w:p>
        <w:p w14:paraId="444E9B87" w14:textId="1918E728" w:rsidR="00F95788" w:rsidRPr="00F95788" w:rsidRDefault="00F95788">
          <w:pPr>
            <w:pStyle w:val="Sumrio2"/>
            <w:tabs>
              <w:tab w:val="left" w:pos="660"/>
              <w:tab w:val="right" w:leader="dot" w:pos="9913"/>
            </w:tabs>
            <w:rPr>
              <w:rFonts w:ascii="Arial" w:hAnsi="Arial" w:cs="Arial"/>
              <w:noProof/>
              <w:sz w:val="22"/>
              <w:szCs w:val="22"/>
            </w:rPr>
          </w:pPr>
          <w:hyperlink w:anchor="_Toc76736532" w:history="1">
            <w:r w:rsidRPr="00F95788">
              <w:rPr>
                <w:rStyle w:val="Hyperlink"/>
                <w:rFonts w:ascii="Arial" w:hAnsi="Arial" w:cs="Arial"/>
                <w:noProof/>
              </w:rPr>
              <w:t>6.</w:t>
            </w:r>
            <w:r w:rsidRPr="00F95788">
              <w:rPr>
                <w:rFonts w:ascii="Arial" w:hAnsi="Arial" w:cs="Arial"/>
                <w:noProof/>
                <w:sz w:val="22"/>
                <w:szCs w:val="22"/>
              </w:rPr>
              <w:tab/>
            </w:r>
            <w:r w:rsidRPr="00F95788">
              <w:rPr>
                <w:rStyle w:val="Hyperlink"/>
                <w:rFonts w:ascii="Arial" w:hAnsi="Arial" w:cs="Arial"/>
                <w:noProof/>
              </w:rPr>
              <w:t>Requisitos gerais</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_Toc76736532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15</w:t>
            </w:r>
            <w:r w:rsidRPr="00F95788">
              <w:rPr>
                <w:rFonts w:ascii="Arial" w:hAnsi="Arial" w:cs="Arial"/>
                <w:noProof/>
                <w:webHidden/>
              </w:rPr>
              <w:fldChar w:fldCharType="end"/>
            </w:r>
          </w:hyperlink>
        </w:p>
        <w:p w14:paraId="16B16F33" w14:textId="36CB70F6" w:rsidR="00F95788" w:rsidRPr="00F95788" w:rsidRDefault="00F95788">
          <w:pPr>
            <w:pStyle w:val="Sumrio2"/>
            <w:tabs>
              <w:tab w:val="left" w:pos="660"/>
              <w:tab w:val="right" w:leader="dot" w:pos="9913"/>
            </w:tabs>
            <w:rPr>
              <w:rFonts w:ascii="Arial" w:hAnsi="Arial" w:cs="Arial"/>
              <w:noProof/>
              <w:sz w:val="22"/>
              <w:szCs w:val="22"/>
            </w:rPr>
          </w:pPr>
          <w:hyperlink w:anchor="_Toc76736533" w:history="1">
            <w:r w:rsidRPr="00F95788">
              <w:rPr>
                <w:rStyle w:val="Hyperlink"/>
                <w:rFonts w:ascii="Arial" w:hAnsi="Arial" w:cs="Arial"/>
                <w:noProof/>
              </w:rPr>
              <w:t>7.</w:t>
            </w:r>
            <w:r w:rsidRPr="00F95788">
              <w:rPr>
                <w:rFonts w:ascii="Arial" w:hAnsi="Arial" w:cs="Arial"/>
                <w:noProof/>
                <w:sz w:val="22"/>
                <w:szCs w:val="22"/>
              </w:rPr>
              <w:tab/>
            </w:r>
            <w:r w:rsidRPr="00F95788">
              <w:rPr>
                <w:rStyle w:val="Hyperlink"/>
                <w:rFonts w:ascii="Arial" w:hAnsi="Arial" w:cs="Arial"/>
                <w:noProof/>
              </w:rPr>
              <w:t>Tipos de auditoria no primeiro ciclo de certificação</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_Toc76736533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15</w:t>
            </w:r>
            <w:r w:rsidRPr="00F95788">
              <w:rPr>
                <w:rFonts w:ascii="Arial" w:hAnsi="Arial" w:cs="Arial"/>
                <w:noProof/>
                <w:webHidden/>
              </w:rPr>
              <w:fldChar w:fldCharType="end"/>
            </w:r>
          </w:hyperlink>
        </w:p>
        <w:p w14:paraId="3003B33F" w14:textId="01D3D718" w:rsidR="00F95788" w:rsidRPr="00F95788" w:rsidRDefault="00F95788">
          <w:pPr>
            <w:pStyle w:val="Sumrio2"/>
            <w:tabs>
              <w:tab w:val="left" w:pos="660"/>
              <w:tab w:val="right" w:leader="dot" w:pos="9913"/>
            </w:tabs>
            <w:rPr>
              <w:rFonts w:ascii="Arial" w:hAnsi="Arial" w:cs="Arial"/>
              <w:noProof/>
              <w:sz w:val="22"/>
              <w:szCs w:val="22"/>
            </w:rPr>
          </w:pPr>
          <w:hyperlink w:anchor="_Toc76736534" w:history="1">
            <w:r w:rsidRPr="00F95788">
              <w:rPr>
                <w:rStyle w:val="Hyperlink"/>
                <w:rFonts w:ascii="Arial" w:hAnsi="Arial" w:cs="Arial"/>
                <w:noProof/>
              </w:rPr>
              <w:t>8.</w:t>
            </w:r>
            <w:r w:rsidRPr="00F95788">
              <w:rPr>
                <w:rFonts w:ascii="Arial" w:hAnsi="Arial" w:cs="Arial"/>
                <w:noProof/>
                <w:sz w:val="22"/>
                <w:szCs w:val="22"/>
              </w:rPr>
              <w:tab/>
            </w:r>
            <w:r w:rsidRPr="00F95788">
              <w:rPr>
                <w:rStyle w:val="Hyperlink"/>
                <w:rFonts w:ascii="Arial" w:hAnsi="Arial" w:cs="Arial"/>
                <w:noProof/>
              </w:rPr>
              <w:t>Avaliação principal</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_Toc76736534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16</w:t>
            </w:r>
            <w:r w:rsidRPr="00F95788">
              <w:rPr>
                <w:rFonts w:ascii="Arial" w:hAnsi="Arial" w:cs="Arial"/>
                <w:noProof/>
                <w:webHidden/>
              </w:rPr>
              <w:fldChar w:fldCharType="end"/>
            </w:r>
          </w:hyperlink>
        </w:p>
        <w:p w14:paraId="190048D0" w14:textId="595EB030" w:rsidR="00F95788" w:rsidRPr="00F95788" w:rsidRDefault="00F95788">
          <w:pPr>
            <w:pStyle w:val="Sumrio2"/>
            <w:tabs>
              <w:tab w:val="left" w:pos="660"/>
              <w:tab w:val="right" w:leader="dot" w:pos="9913"/>
            </w:tabs>
            <w:rPr>
              <w:rFonts w:ascii="Arial" w:hAnsi="Arial" w:cs="Arial"/>
              <w:noProof/>
              <w:sz w:val="22"/>
              <w:szCs w:val="22"/>
            </w:rPr>
          </w:pPr>
          <w:hyperlink w:anchor="_Toc76736535" w:history="1">
            <w:r w:rsidRPr="00F95788">
              <w:rPr>
                <w:rStyle w:val="Hyperlink"/>
                <w:rFonts w:ascii="Arial" w:hAnsi="Arial" w:cs="Arial"/>
                <w:noProof/>
              </w:rPr>
              <w:t>9.</w:t>
            </w:r>
            <w:r w:rsidRPr="00F95788">
              <w:rPr>
                <w:rFonts w:ascii="Arial" w:hAnsi="Arial" w:cs="Arial"/>
                <w:noProof/>
                <w:sz w:val="22"/>
                <w:szCs w:val="22"/>
              </w:rPr>
              <w:tab/>
            </w:r>
            <w:r w:rsidRPr="00F95788">
              <w:rPr>
                <w:rStyle w:val="Hyperlink"/>
                <w:rFonts w:ascii="Arial" w:hAnsi="Arial" w:cs="Arial"/>
                <w:noProof/>
              </w:rPr>
              <w:t>Avaliação dos anos 2 e 4</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_Toc76736535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16</w:t>
            </w:r>
            <w:r w:rsidRPr="00F95788">
              <w:rPr>
                <w:rFonts w:ascii="Arial" w:hAnsi="Arial" w:cs="Arial"/>
                <w:noProof/>
                <w:webHidden/>
              </w:rPr>
              <w:fldChar w:fldCharType="end"/>
            </w:r>
          </w:hyperlink>
        </w:p>
        <w:p w14:paraId="3AF60DA2" w14:textId="5B764EEF" w:rsidR="00F95788" w:rsidRPr="00F95788" w:rsidRDefault="00F95788">
          <w:pPr>
            <w:pStyle w:val="Sumrio2"/>
            <w:tabs>
              <w:tab w:val="left" w:pos="880"/>
              <w:tab w:val="right" w:leader="dot" w:pos="9913"/>
            </w:tabs>
            <w:rPr>
              <w:rFonts w:ascii="Arial" w:hAnsi="Arial" w:cs="Arial"/>
              <w:noProof/>
              <w:sz w:val="22"/>
              <w:szCs w:val="22"/>
            </w:rPr>
          </w:pPr>
          <w:hyperlink w:anchor="_Toc76736536" w:history="1">
            <w:r w:rsidRPr="00F95788">
              <w:rPr>
                <w:rStyle w:val="Hyperlink"/>
                <w:rFonts w:ascii="Arial" w:hAnsi="Arial" w:cs="Arial"/>
                <w:noProof/>
              </w:rPr>
              <w:t>10.</w:t>
            </w:r>
            <w:r w:rsidRPr="00F95788">
              <w:rPr>
                <w:rFonts w:ascii="Arial" w:hAnsi="Arial" w:cs="Arial"/>
                <w:noProof/>
                <w:sz w:val="22"/>
                <w:szCs w:val="22"/>
              </w:rPr>
              <w:tab/>
            </w:r>
            <w:r w:rsidRPr="00F95788">
              <w:rPr>
                <w:rStyle w:val="Hyperlink"/>
                <w:rFonts w:ascii="Arial" w:hAnsi="Arial" w:cs="Arial"/>
                <w:noProof/>
              </w:rPr>
              <w:t>Avaliação do ano 3</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_Toc76736536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17</w:t>
            </w:r>
            <w:r w:rsidRPr="00F95788">
              <w:rPr>
                <w:rFonts w:ascii="Arial" w:hAnsi="Arial" w:cs="Arial"/>
                <w:noProof/>
                <w:webHidden/>
              </w:rPr>
              <w:fldChar w:fldCharType="end"/>
            </w:r>
          </w:hyperlink>
        </w:p>
        <w:p w14:paraId="0C75D0ED" w14:textId="74B40EA1" w:rsidR="00F95788" w:rsidRPr="00F95788" w:rsidRDefault="00F95788">
          <w:pPr>
            <w:pStyle w:val="Sumrio2"/>
            <w:tabs>
              <w:tab w:val="left" w:pos="880"/>
              <w:tab w:val="right" w:leader="dot" w:pos="9913"/>
            </w:tabs>
            <w:rPr>
              <w:rFonts w:ascii="Arial" w:hAnsi="Arial" w:cs="Arial"/>
              <w:noProof/>
              <w:sz w:val="22"/>
              <w:szCs w:val="22"/>
            </w:rPr>
          </w:pPr>
          <w:hyperlink w:anchor="_Toc76736537" w:history="1">
            <w:r w:rsidRPr="00F95788">
              <w:rPr>
                <w:rStyle w:val="Hyperlink"/>
                <w:rFonts w:ascii="Arial" w:hAnsi="Arial" w:cs="Arial"/>
                <w:noProof/>
              </w:rPr>
              <w:t>11.</w:t>
            </w:r>
            <w:r w:rsidRPr="00F95788">
              <w:rPr>
                <w:rFonts w:ascii="Arial" w:hAnsi="Arial" w:cs="Arial"/>
                <w:noProof/>
                <w:sz w:val="22"/>
                <w:szCs w:val="22"/>
              </w:rPr>
              <w:tab/>
            </w:r>
            <w:r w:rsidRPr="00F95788">
              <w:rPr>
                <w:rStyle w:val="Hyperlink"/>
                <w:rFonts w:ascii="Arial" w:hAnsi="Arial" w:cs="Arial"/>
                <w:noProof/>
              </w:rPr>
              <w:t>Reavaliação</w:t>
            </w:r>
            <w:r w:rsidRPr="00F95788">
              <w:rPr>
                <w:rFonts w:ascii="Arial" w:hAnsi="Arial" w:cs="Arial"/>
                <w:noProof/>
                <w:webHidden/>
              </w:rPr>
              <w:tab/>
            </w:r>
            <w:r w:rsidRPr="00F95788">
              <w:rPr>
                <w:rFonts w:ascii="Arial" w:hAnsi="Arial" w:cs="Arial"/>
                <w:noProof/>
                <w:webHidden/>
              </w:rPr>
              <w:fldChar w:fldCharType="begin"/>
            </w:r>
            <w:r w:rsidRPr="00F95788">
              <w:rPr>
                <w:rFonts w:ascii="Arial" w:hAnsi="Arial" w:cs="Arial"/>
                <w:noProof/>
                <w:webHidden/>
              </w:rPr>
              <w:instrText xml:space="preserve"> PAGEREF _Toc76736537 \h </w:instrText>
            </w:r>
            <w:r w:rsidRPr="00F95788">
              <w:rPr>
                <w:rFonts w:ascii="Arial" w:hAnsi="Arial" w:cs="Arial"/>
                <w:noProof/>
                <w:webHidden/>
              </w:rPr>
            </w:r>
            <w:r w:rsidRPr="00F95788">
              <w:rPr>
                <w:rFonts w:ascii="Arial" w:hAnsi="Arial" w:cs="Arial"/>
                <w:noProof/>
                <w:webHidden/>
              </w:rPr>
              <w:fldChar w:fldCharType="separate"/>
            </w:r>
            <w:r w:rsidRPr="00F95788">
              <w:rPr>
                <w:rFonts w:ascii="Arial" w:hAnsi="Arial" w:cs="Arial"/>
                <w:noProof/>
                <w:webHidden/>
              </w:rPr>
              <w:t>17</w:t>
            </w:r>
            <w:r w:rsidRPr="00F95788">
              <w:rPr>
                <w:rFonts w:ascii="Arial" w:hAnsi="Arial" w:cs="Arial"/>
                <w:noProof/>
                <w:webHidden/>
              </w:rPr>
              <w:fldChar w:fldCharType="end"/>
            </w:r>
          </w:hyperlink>
        </w:p>
        <w:p w14:paraId="1EDCDC1B" w14:textId="5297CC6B" w:rsidR="00F95788" w:rsidRPr="00F95788" w:rsidRDefault="00F95788">
          <w:pPr>
            <w:pStyle w:val="Sumrio1"/>
            <w:rPr>
              <w:rFonts w:cs="Arial"/>
              <w:noProof/>
              <w:szCs w:val="22"/>
            </w:rPr>
          </w:pPr>
          <w:hyperlink w:anchor="_Toc76736538" w:history="1">
            <w:r w:rsidRPr="00F95788">
              <w:rPr>
                <w:rStyle w:val="Hyperlink"/>
                <w:rFonts w:cs="Arial"/>
                <w:noProof/>
              </w:rPr>
              <w:t>Anexo 1: Modelo de autoavaliação</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_Toc76736538 \h </w:instrText>
            </w:r>
            <w:r w:rsidRPr="00F95788">
              <w:rPr>
                <w:rFonts w:cs="Arial"/>
                <w:noProof/>
                <w:webHidden/>
              </w:rPr>
            </w:r>
            <w:r w:rsidRPr="00F95788">
              <w:rPr>
                <w:rFonts w:cs="Arial"/>
                <w:noProof/>
                <w:webHidden/>
              </w:rPr>
              <w:fldChar w:fldCharType="separate"/>
            </w:r>
            <w:r w:rsidRPr="00F95788">
              <w:rPr>
                <w:rFonts w:cs="Arial"/>
                <w:noProof/>
                <w:webHidden/>
              </w:rPr>
              <w:t>18</w:t>
            </w:r>
            <w:r w:rsidRPr="00F95788">
              <w:rPr>
                <w:rFonts w:cs="Arial"/>
                <w:noProof/>
                <w:webHidden/>
              </w:rPr>
              <w:fldChar w:fldCharType="end"/>
            </w:r>
          </w:hyperlink>
        </w:p>
        <w:p w14:paraId="19F4C0A4" w14:textId="4C1EEE6F" w:rsidR="00F95788" w:rsidRPr="00F95788" w:rsidRDefault="00F95788">
          <w:pPr>
            <w:pStyle w:val="Sumrio1"/>
            <w:rPr>
              <w:rFonts w:cs="Arial"/>
              <w:noProof/>
              <w:szCs w:val="22"/>
            </w:rPr>
          </w:pPr>
          <w:hyperlink w:anchor="_Toc76736539" w:history="1">
            <w:r w:rsidRPr="00F95788">
              <w:rPr>
                <w:rStyle w:val="Hyperlink"/>
                <w:rFonts w:cs="Arial"/>
                <w:noProof/>
              </w:rPr>
              <w:t>Anexo 2: Modelo do Plano de Ação</w:t>
            </w:r>
            <w:r w:rsidRPr="00F95788">
              <w:rPr>
                <w:rFonts w:cs="Arial"/>
                <w:noProof/>
                <w:webHidden/>
              </w:rPr>
              <w:tab/>
            </w:r>
            <w:r w:rsidRPr="00F95788">
              <w:rPr>
                <w:rFonts w:cs="Arial"/>
                <w:noProof/>
                <w:webHidden/>
              </w:rPr>
              <w:fldChar w:fldCharType="begin"/>
            </w:r>
            <w:r w:rsidRPr="00F95788">
              <w:rPr>
                <w:rFonts w:cs="Arial"/>
                <w:noProof/>
                <w:webHidden/>
              </w:rPr>
              <w:instrText xml:space="preserve"> PAGEREF _Toc76736539 \h </w:instrText>
            </w:r>
            <w:r w:rsidRPr="00F95788">
              <w:rPr>
                <w:rFonts w:cs="Arial"/>
                <w:noProof/>
                <w:webHidden/>
              </w:rPr>
            </w:r>
            <w:r w:rsidRPr="00F95788">
              <w:rPr>
                <w:rFonts w:cs="Arial"/>
                <w:noProof/>
                <w:webHidden/>
              </w:rPr>
              <w:fldChar w:fldCharType="separate"/>
            </w:r>
            <w:r w:rsidRPr="00F95788">
              <w:rPr>
                <w:rFonts w:cs="Arial"/>
                <w:noProof/>
                <w:webHidden/>
              </w:rPr>
              <w:t>18</w:t>
            </w:r>
            <w:r w:rsidRPr="00F95788">
              <w:rPr>
                <w:rFonts w:cs="Arial"/>
                <w:noProof/>
                <w:webHidden/>
              </w:rPr>
              <w:fldChar w:fldCharType="end"/>
            </w:r>
          </w:hyperlink>
        </w:p>
        <w:p w14:paraId="3DDFD16E" w14:textId="584FBCC1" w:rsidR="00F37DA1" w:rsidRPr="00F95788" w:rsidRDefault="004E7609">
          <w:pPr>
            <w:rPr>
              <w:rFonts w:ascii="Arial" w:hAnsi="Arial" w:cs="Arial"/>
            </w:rPr>
          </w:pPr>
          <w:r w:rsidRPr="00F95788">
            <w:rPr>
              <w:rFonts w:ascii="Arial" w:hAnsi="Arial" w:cs="Arial"/>
              <w:b/>
              <w:sz w:val="22"/>
            </w:rPr>
            <w:fldChar w:fldCharType="end"/>
          </w:r>
        </w:p>
      </w:sdtContent>
    </w:sdt>
    <w:p w14:paraId="74D08B42" w14:textId="3E288F36" w:rsidR="00F37DA1" w:rsidRDefault="00F37DA1">
      <w:pPr>
        <w:rPr>
          <w:rFonts w:ascii="Arial" w:hAnsi="Arial" w:cs="Arial"/>
        </w:rPr>
      </w:pPr>
    </w:p>
    <w:p w14:paraId="350AE4C2" w14:textId="405FB199" w:rsidR="00F37DA1" w:rsidRDefault="004E7609">
      <w:pPr>
        <w:pStyle w:val="P68B1DB1-Normal1"/>
      </w:pPr>
      <w:r>
        <w:br w:type="page"/>
      </w:r>
    </w:p>
    <w:p w14:paraId="541801D1" w14:textId="77777777" w:rsidR="00F37DA1" w:rsidRDefault="004E7609">
      <w:pPr>
        <w:pStyle w:val="Ttulo1"/>
      </w:pPr>
      <w:bookmarkStart w:id="0" w:name="_Toc40711602"/>
      <w:bookmarkStart w:id="1" w:name="_Toc74945871"/>
      <w:bookmarkStart w:id="2" w:name="_Toc76736520"/>
      <w:r>
        <w:lastRenderedPageBreak/>
        <w:t>A Objetivo</w:t>
      </w:r>
      <w:bookmarkEnd w:id="0"/>
      <w:bookmarkEnd w:id="1"/>
      <w:bookmarkEnd w:id="2"/>
    </w:p>
    <w:p w14:paraId="380A9ECB" w14:textId="0A94902B" w:rsidR="00F37DA1" w:rsidRDefault="004E7609">
      <w:pPr>
        <w:pStyle w:val="P68B1DB1-Normal6"/>
        <w:tabs>
          <w:tab w:val="left" w:pos="6804"/>
        </w:tabs>
        <w:spacing w:before="120" w:after="120"/>
        <w:ind w:left="-2"/>
        <w:jc w:val="both"/>
      </w:pPr>
      <w:r>
        <w:t xml:space="preserve">O objetivo deste </w:t>
      </w:r>
      <w:r w:rsidR="005B50B0">
        <w:t xml:space="preserve">procedimento </w:t>
      </w:r>
      <w:r>
        <w:t xml:space="preserve">é fornecer uma maneira flexível para as Organizações que gerenciam Unidades de Manejo SLIMF e para as comunidades, dentro ou fora de um grupo, para acessar a certificação de manejo florestal FSC, </w:t>
      </w:r>
      <w:r w:rsidR="005B50B0">
        <w:t>ao atender</w:t>
      </w:r>
      <w:r>
        <w:t xml:space="preserve"> o padrão FSC aplicável progressivamente ao longo de um período de cinco (5) anos.</w:t>
      </w:r>
    </w:p>
    <w:p w14:paraId="0A7AB2DB" w14:textId="77777777" w:rsidR="00F37DA1" w:rsidRDefault="004E7609">
      <w:pPr>
        <w:pStyle w:val="Ttulo1"/>
      </w:pPr>
      <w:bookmarkStart w:id="3" w:name="_Toc40711603"/>
      <w:bookmarkStart w:id="4" w:name="_Toc74945872"/>
      <w:bookmarkStart w:id="5" w:name="_Toc76736521"/>
      <w:r>
        <w:t>B Escopo</w:t>
      </w:r>
      <w:bookmarkEnd w:id="3"/>
      <w:bookmarkEnd w:id="4"/>
      <w:bookmarkEnd w:id="5"/>
    </w:p>
    <w:p w14:paraId="187DB4EB" w14:textId="006B84FC" w:rsidR="00F37DA1" w:rsidRDefault="004E7609">
      <w:pPr>
        <w:pStyle w:val="P68B1DB1-Normal6"/>
        <w:autoSpaceDE w:val="0"/>
        <w:autoSpaceDN w:val="0"/>
        <w:adjustRightInd w:val="0"/>
        <w:spacing w:before="120" w:after="120"/>
        <w:jc w:val="both"/>
      </w:pPr>
      <w:bookmarkStart w:id="6" w:name="_Hlk18588795"/>
      <w:r>
        <w:t xml:space="preserve">Este </w:t>
      </w:r>
      <w:r w:rsidR="005B50B0">
        <w:t xml:space="preserve">procedimento </w:t>
      </w:r>
      <w:r>
        <w:t>deve ser usado por:</w:t>
      </w:r>
    </w:p>
    <w:p w14:paraId="6943201E" w14:textId="7E4639E0" w:rsidR="00951F35" w:rsidRDefault="004E7609" w:rsidP="00951F35">
      <w:pPr>
        <w:pStyle w:val="P68B1DB1-Prrafodelista11"/>
        <w:numPr>
          <w:ilvl w:val="0"/>
          <w:numId w:val="1"/>
        </w:numPr>
        <w:autoSpaceDE w:val="0"/>
        <w:autoSpaceDN w:val="0"/>
        <w:adjustRightInd w:val="0"/>
        <w:spacing w:before="120" w:after="120"/>
        <w:jc w:val="both"/>
      </w:pPr>
      <w:r>
        <w:t>Parte I: As Organizações que gerenciam Unidades de Manejo SLIMF e comunidades, tanto dentro como fora de um grupo.</w:t>
      </w:r>
    </w:p>
    <w:p w14:paraId="183F47A8" w14:textId="2C9DA353" w:rsidR="00F37DA1" w:rsidRDefault="004E7609">
      <w:pPr>
        <w:pStyle w:val="P68B1DB1-Prrafodelista11"/>
        <w:numPr>
          <w:ilvl w:val="0"/>
          <w:numId w:val="1"/>
        </w:numPr>
        <w:autoSpaceDE w:val="0"/>
        <w:autoSpaceDN w:val="0"/>
        <w:adjustRightInd w:val="0"/>
        <w:spacing w:before="120" w:after="120"/>
        <w:jc w:val="both"/>
      </w:pPr>
      <w:r>
        <w:t xml:space="preserve">Parte II: </w:t>
      </w:r>
      <w:r w:rsidR="005B50B0">
        <w:t>Organismos de certificação</w:t>
      </w:r>
      <w:r>
        <w:t xml:space="preserve"> </w:t>
      </w:r>
      <w:r w:rsidR="005B50B0">
        <w:t xml:space="preserve">acreditados </w:t>
      </w:r>
      <w:r>
        <w:t>pelo FSC.</w:t>
      </w:r>
    </w:p>
    <w:p w14:paraId="152C2933" w14:textId="368F838A" w:rsidR="00F37DA1" w:rsidRDefault="004E7609">
      <w:pPr>
        <w:pStyle w:val="P68B1DB1-Normal6"/>
        <w:spacing w:before="120" w:after="120"/>
        <w:jc w:val="both"/>
      </w:pPr>
      <w:r>
        <w:t xml:space="preserve">Todos os aspectos deste </w:t>
      </w:r>
      <w:r w:rsidR="005B50B0">
        <w:t xml:space="preserve">procedimento </w:t>
      </w:r>
      <w:r>
        <w:t>são considerados normativos, incluindo escopo, datas de vigência e validade, referências, termos e definições, notas, tabelas e anexos, a menos que indicado de outra forma.</w:t>
      </w:r>
      <w:bookmarkEnd w:id="6"/>
      <w:r>
        <w:t xml:space="preserve"> O conteúdo das caixas de informações NÃO é normativo.</w:t>
      </w:r>
    </w:p>
    <w:p w14:paraId="5A3558F3" w14:textId="77777777" w:rsidR="00F37DA1" w:rsidRDefault="004E7609">
      <w:pPr>
        <w:pStyle w:val="Ttulo1"/>
      </w:pPr>
      <w:bookmarkStart w:id="7" w:name="_Toc40711604"/>
      <w:bookmarkStart w:id="8" w:name="_Toc74945873"/>
      <w:bookmarkStart w:id="9" w:name="_Toc76736522"/>
      <w:r>
        <w:t>C Data de vigência e validade</w:t>
      </w:r>
      <w:bookmarkEnd w:id="7"/>
      <w:bookmarkEnd w:id="8"/>
      <w:bookmarkEnd w:id="9"/>
    </w:p>
    <w:p w14:paraId="4BA250CC" w14:textId="77777777" w:rsidR="00F37DA1" w:rsidRDefault="004E7609">
      <w:pPr>
        <w:pStyle w:val="P68B1DB1-Normal6"/>
        <w:spacing w:before="120" w:after="120"/>
        <w:jc w:val="both"/>
      </w:pPr>
      <w:r>
        <w:t>Data de aprovação</w:t>
      </w:r>
    </w:p>
    <w:p w14:paraId="2D0278E1" w14:textId="77777777" w:rsidR="00F37DA1" w:rsidRDefault="004E7609">
      <w:pPr>
        <w:pStyle w:val="P68B1DB1-Normal6"/>
        <w:spacing w:before="120" w:after="120"/>
        <w:jc w:val="both"/>
      </w:pPr>
      <w:r>
        <w:t>Data de publicação</w:t>
      </w:r>
    </w:p>
    <w:p w14:paraId="52E41040" w14:textId="77777777" w:rsidR="00F37DA1" w:rsidRDefault="004E7609">
      <w:pPr>
        <w:pStyle w:val="P68B1DB1-Normal6"/>
        <w:spacing w:before="120" w:after="120"/>
        <w:jc w:val="both"/>
      </w:pPr>
      <w:r>
        <w:t>Data efetiva</w:t>
      </w:r>
    </w:p>
    <w:p w14:paraId="12505027" w14:textId="77777777" w:rsidR="00F37DA1" w:rsidRDefault="004E7609">
      <w:pPr>
        <w:pStyle w:val="P68B1DB1-Normal6"/>
        <w:spacing w:before="120" w:after="120"/>
        <w:jc w:val="both"/>
      </w:pPr>
      <w:r>
        <w:t>Período de transição</w:t>
      </w:r>
    </w:p>
    <w:p w14:paraId="2E1FA709" w14:textId="39E95A15" w:rsidR="00F37DA1" w:rsidRDefault="004E7609">
      <w:pPr>
        <w:pStyle w:val="P68B1DB1-Normal6"/>
        <w:spacing w:before="120" w:after="120"/>
        <w:jc w:val="both"/>
      </w:pPr>
      <w:r>
        <w:t xml:space="preserve">Período de </w:t>
      </w:r>
      <w:proofErr w:type="gramStart"/>
      <w:r>
        <w:t xml:space="preserve">validade </w:t>
      </w:r>
      <w:r w:rsidR="005B50B0">
        <w:tab/>
        <w:t>A</w:t>
      </w:r>
      <w:r>
        <w:t>té</w:t>
      </w:r>
      <w:proofErr w:type="gramEnd"/>
      <w:r>
        <w:t xml:space="preserve"> a substituição ou </w:t>
      </w:r>
      <w:r w:rsidR="005B50B0">
        <w:t>exclusão</w:t>
      </w:r>
      <w:r>
        <w:t>.</w:t>
      </w:r>
    </w:p>
    <w:p w14:paraId="0F57C6F6" w14:textId="77777777" w:rsidR="00F37DA1" w:rsidRDefault="004E7609">
      <w:pPr>
        <w:pStyle w:val="Ttulo1"/>
      </w:pPr>
      <w:bookmarkStart w:id="10" w:name="_Toc40711605"/>
      <w:bookmarkStart w:id="11" w:name="_Toc74945874"/>
      <w:bookmarkStart w:id="12" w:name="_Toc76736523"/>
      <w:r>
        <w:t>D Referências</w:t>
      </w:r>
      <w:bookmarkEnd w:id="10"/>
      <w:bookmarkEnd w:id="11"/>
      <w:bookmarkEnd w:id="12"/>
    </w:p>
    <w:p w14:paraId="357871CE" w14:textId="77777777" w:rsidR="00F37DA1" w:rsidRDefault="004E7609">
      <w:pPr>
        <w:pStyle w:val="P68B1DB1-Normal6"/>
        <w:spacing w:before="120" w:after="120"/>
        <w:jc w:val="both"/>
      </w:pPr>
      <w:r>
        <w:t>Os seguintes documentos são indispensáveis para a aplicação deste documento. Para as referências não datadas, aplica-se a última edição do documento citado (incluindo alterações).</w:t>
      </w:r>
    </w:p>
    <w:p w14:paraId="68B2CCA4" w14:textId="77777777" w:rsidR="00F37DA1" w:rsidRDefault="004E7609">
      <w:pPr>
        <w:pStyle w:val="P68B1DB1-Normal8"/>
        <w:autoSpaceDE w:val="0"/>
        <w:autoSpaceDN w:val="0"/>
        <w:adjustRightInd w:val="0"/>
        <w:spacing w:before="120" w:after="120"/>
        <w:jc w:val="both"/>
      </w:pPr>
      <w:r>
        <w:t>FSC-STD-01-001 Princípios e Critérios do FSC para Manejo Florestal</w:t>
      </w:r>
    </w:p>
    <w:p w14:paraId="2E61A37E" w14:textId="77777777" w:rsidR="00F37DA1" w:rsidRDefault="004E7609">
      <w:pPr>
        <w:pStyle w:val="P68B1DB1-Normal8"/>
        <w:autoSpaceDE w:val="0"/>
        <w:autoSpaceDN w:val="0"/>
        <w:adjustRightInd w:val="0"/>
        <w:spacing w:before="120" w:after="120"/>
        <w:jc w:val="both"/>
      </w:pPr>
      <w:r>
        <w:t xml:space="preserve">FSC-STD-01-002 Glossário de termos do FSC </w:t>
      </w:r>
    </w:p>
    <w:p w14:paraId="72C9F289" w14:textId="38BF4137" w:rsidR="00F37DA1" w:rsidRDefault="004E7609">
      <w:pPr>
        <w:pStyle w:val="P68B1DB1-Normal8"/>
        <w:autoSpaceDE w:val="0"/>
        <w:autoSpaceDN w:val="0"/>
        <w:adjustRightInd w:val="0"/>
        <w:spacing w:before="120" w:after="120"/>
        <w:jc w:val="both"/>
      </w:pPr>
      <w:r>
        <w:t>FSC-STD-01-003 Critérios de elegibilidade SLIMF</w:t>
      </w:r>
    </w:p>
    <w:p w14:paraId="486A62D6" w14:textId="44C2DC61" w:rsidR="00F37DA1" w:rsidRDefault="004E7609">
      <w:pPr>
        <w:pStyle w:val="P68B1DB1-Normal8"/>
        <w:autoSpaceDE w:val="0"/>
        <w:autoSpaceDN w:val="0"/>
        <w:adjustRightInd w:val="0"/>
        <w:spacing w:before="120" w:after="120"/>
        <w:jc w:val="both"/>
      </w:pPr>
      <w:r>
        <w:t>FSC-STD-20-007 Avaliações de Manejo Florestal</w:t>
      </w:r>
    </w:p>
    <w:p w14:paraId="7AF37688" w14:textId="4831BC08" w:rsidR="00F37DA1" w:rsidRDefault="004E7609">
      <w:pPr>
        <w:pStyle w:val="P68B1DB1-Normal12"/>
        <w:autoSpaceDE w:val="0"/>
        <w:autoSpaceDN w:val="0"/>
        <w:adjustRightInd w:val="0"/>
        <w:spacing w:before="120" w:after="120"/>
        <w:jc w:val="both"/>
      </w:pPr>
      <w:r>
        <w:t xml:space="preserve">FSC-STD-30-005 Padrão </w:t>
      </w:r>
      <w:r w:rsidR="005B50B0">
        <w:t xml:space="preserve">para </w:t>
      </w:r>
      <w:r>
        <w:t xml:space="preserve">Grupos de Manejo Florestal </w:t>
      </w:r>
    </w:p>
    <w:p w14:paraId="29C73056" w14:textId="77777777" w:rsidR="00F37DA1" w:rsidRDefault="004E7609">
      <w:pPr>
        <w:pStyle w:val="Ttulo1"/>
      </w:pPr>
      <w:bookmarkStart w:id="13" w:name="_Toc40711606"/>
      <w:bookmarkStart w:id="14" w:name="_Toc74945875"/>
      <w:bookmarkStart w:id="15" w:name="_Toc76736524"/>
      <w:r>
        <w:t>E Termos e Definições</w:t>
      </w:r>
      <w:bookmarkEnd w:id="13"/>
      <w:bookmarkEnd w:id="14"/>
      <w:bookmarkEnd w:id="15"/>
    </w:p>
    <w:p w14:paraId="59961E65" w14:textId="322ECEAD" w:rsidR="00F37DA1" w:rsidRDefault="004E7609">
      <w:pPr>
        <w:pStyle w:val="P68B1DB1-Normal6"/>
        <w:spacing w:before="120" w:after="120"/>
        <w:jc w:val="both"/>
      </w:pPr>
      <w:r>
        <w:t xml:space="preserve">Para fins deste </w:t>
      </w:r>
      <w:r w:rsidR="005B50B0">
        <w:t>procedimento</w:t>
      </w:r>
      <w:r>
        <w:t xml:space="preserve">, os termos e definições fornecidos no FSC-STD-01-002 </w:t>
      </w:r>
      <w:r>
        <w:rPr>
          <w:i/>
        </w:rPr>
        <w:t>Glossário de Termos do FSC</w:t>
      </w:r>
      <w:r>
        <w:t xml:space="preserve"> e o seguinte se aplicam:</w:t>
      </w:r>
    </w:p>
    <w:p w14:paraId="388AA347" w14:textId="4556E164" w:rsidR="00F37DA1" w:rsidRDefault="004E7609">
      <w:pPr>
        <w:pStyle w:val="P68B1DB1-Normal13"/>
        <w:spacing w:before="120" w:after="120"/>
        <w:jc w:val="both"/>
        <w:rPr>
          <w:rFonts w:ascii="Arial" w:hAnsi="Arial" w:cs="Arial"/>
        </w:rPr>
      </w:pPr>
      <w:r>
        <w:rPr>
          <w:rFonts w:ascii="Arial Black" w:hAnsi="Arial Black" w:cs="Arial"/>
          <w:b/>
        </w:rPr>
        <w:t>Plano de Ação</w:t>
      </w:r>
      <w:r>
        <w:rPr>
          <w:rFonts w:ascii="Arial" w:hAnsi="Arial" w:cs="Arial"/>
          <w:b/>
        </w:rPr>
        <w:t>:</w:t>
      </w:r>
      <w:r>
        <w:rPr>
          <w:rFonts w:ascii="Arial" w:hAnsi="Arial" w:cs="Arial"/>
        </w:rPr>
        <w:t xml:space="preserve"> Um documento escrito que especifica o momento em que os diferentes Critérios do padrão FSC aplicável serão implementados pelo usuário do PMC durante o primeiro ciclo de certificação de cada Unidade de Manejo.</w:t>
      </w:r>
    </w:p>
    <w:p w14:paraId="4ED481A3" w14:textId="55466E33" w:rsidR="00F37DA1" w:rsidRDefault="004E7609">
      <w:pPr>
        <w:spacing w:before="120" w:after="120"/>
        <w:jc w:val="both"/>
        <w:rPr>
          <w:rFonts w:ascii="Arial" w:hAnsi="Arial" w:cs="Arial"/>
          <w:sz w:val="22"/>
        </w:rPr>
      </w:pPr>
      <w:r>
        <w:rPr>
          <w:rFonts w:ascii="Arial Black" w:hAnsi="Arial Black" w:cs="Arial"/>
          <w:b/>
          <w:sz w:val="22"/>
        </w:rPr>
        <w:t>Auditoria:</w:t>
      </w:r>
      <w:r>
        <w:rPr>
          <w:rFonts w:ascii="Arial" w:hAnsi="Arial" w:cs="Arial"/>
          <w:sz w:val="22"/>
        </w:rPr>
        <w:t xml:space="preserve"> Processo sistemático, independente e documentado para obter registros, declarações de fato</w:t>
      </w:r>
      <w:r w:rsidR="005B50B0">
        <w:rPr>
          <w:rFonts w:ascii="Arial" w:hAnsi="Arial" w:cs="Arial"/>
          <w:sz w:val="22"/>
        </w:rPr>
        <w:t>s</w:t>
      </w:r>
      <w:r>
        <w:rPr>
          <w:rFonts w:ascii="Arial" w:hAnsi="Arial" w:cs="Arial"/>
          <w:sz w:val="22"/>
        </w:rPr>
        <w:t xml:space="preserve"> e outras informações relevantes e avaliá-los objetivamente para determinar até que ponto os requisitos aplicáveis são atendidos (adaptado do Código de Garantia ISEAL).</w:t>
      </w:r>
      <w:r>
        <w:rPr>
          <w:rFonts w:ascii="Arial" w:hAnsi="Arial" w:cs="Arial"/>
        </w:rPr>
        <w:t xml:space="preserve"> </w:t>
      </w:r>
      <w:r>
        <w:rPr>
          <w:rFonts w:ascii="Arial" w:hAnsi="Arial" w:cs="Arial"/>
          <w:i/>
          <w:sz w:val="22"/>
        </w:rPr>
        <w:t>Fonte: FSC-STD-01-002</w:t>
      </w:r>
      <w:r>
        <w:rPr>
          <w:rFonts w:ascii="Arial" w:hAnsi="Arial" w:cs="Arial"/>
          <w:sz w:val="22"/>
        </w:rPr>
        <w:t>.</w:t>
      </w:r>
    </w:p>
    <w:p w14:paraId="5CE938C9" w14:textId="48BB9F89" w:rsidR="00F37DA1" w:rsidRDefault="004E7609" w:rsidP="0042774D">
      <w:pPr>
        <w:pStyle w:val="P68B1DB1-Normal13"/>
        <w:spacing w:before="120" w:after="120"/>
        <w:jc w:val="both"/>
        <w:rPr>
          <w:rFonts w:ascii="Arial" w:hAnsi="Arial" w:cs="Arial"/>
        </w:rPr>
      </w:pPr>
      <w:r>
        <w:rPr>
          <w:rFonts w:ascii="Arial Black" w:hAnsi="Arial Black" w:cs="Arial"/>
          <w:b/>
        </w:rPr>
        <w:t>Equipe de auditoria:</w:t>
      </w:r>
      <w:r>
        <w:rPr>
          <w:rFonts w:ascii="Arial" w:hAnsi="Arial" w:cs="Arial"/>
        </w:rPr>
        <w:t xml:space="preserve"> </w:t>
      </w:r>
      <w:r w:rsidR="005B50B0">
        <w:rPr>
          <w:rFonts w:ascii="Arial" w:hAnsi="Arial" w:cs="Arial"/>
        </w:rPr>
        <w:t xml:space="preserve">É </w:t>
      </w:r>
      <w:r>
        <w:rPr>
          <w:rFonts w:ascii="Arial" w:hAnsi="Arial" w:cs="Arial"/>
        </w:rPr>
        <w:t xml:space="preserve">composta por um ou mais auditores, um dos quais é indicado para ser o líder da equipe de auditoria. Quando necessário, as equipes de auditoria também são apoiadas por </w:t>
      </w:r>
      <w:r>
        <w:rPr>
          <w:rFonts w:ascii="Arial" w:hAnsi="Arial" w:cs="Arial"/>
        </w:rPr>
        <w:lastRenderedPageBreak/>
        <w:t xml:space="preserve">especialistas técnicos e/ou outras pessoas (por exemplo, intérprete), que auxiliam os auditores, mas não atuam como auditores. </w:t>
      </w:r>
      <w:r>
        <w:rPr>
          <w:rFonts w:ascii="Arial" w:hAnsi="Arial" w:cs="Arial"/>
          <w:i/>
        </w:rPr>
        <w:t>Fonte: FSC-STD-01-002</w:t>
      </w:r>
      <w:r>
        <w:rPr>
          <w:rFonts w:ascii="Arial" w:hAnsi="Arial" w:cs="Arial"/>
        </w:rPr>
        <w:t>.</w:t>
      </w:r>
      <w:bookmarkStart w:id="16" w:name="_Hlk40262375"/>
    </w:p>
    <w:p w14:paraId="0B83A3FF" w14:textId="60E418B1" w:rsidR="00F37DA1" w:rsidRDefault="004E7609">
      <w:pPr>
        <w:pStyle w:val="Default"/>
        <w:spacing w:before="120" w:after="120"/>
        <w:jc w:val="both"/>
        <w:rPr>
          <w:i/>
          <w:sz w:val="22"/>
        </w:rPr>
      </w:pPr>
      <w:r>
        <w:rPr>
          <w:rFonts w:ascii="Arial Black" w:hAnsi="Arial Black"/>
          <w:sz w:val="22"/>
        </w:rPr>
        <w:t>Padrão FSC aplicável</w:t>
      </w:r>
      <w:r>
        <w:rPr>
          <w:rFonts w:ascii="Arial Black" w:hAnsi="Arial Black"/>
          <w:b/>
          <w:sz w:val="22"/>
        </w:rPr>
        <w:t>:</w:t>
      </w:r>
      <w:r>
        <w:rPr>
          <w:sz w:val="22"/>
        </w:rPr>
        <w:t xml:space="preserve"> No contexto deste </w:t>
      </w:r>
      <w:r w:rsidR="005B50B0">
        <w:rPr>
          <w:sz w:val="22"/>
        </w:rPr>
        <w:t>procedimento</w:t>
      </w:r>
      <w:r>
        <w:rPr>
          <w:sz w:val="22"/>
        </w:rPr>
        <w:t>, este termo é usado para se referir ao(s) padrão(</w:t>
      </w:r>
      <w:proofErr w:type="spellStart"/>
      <w:r>
        <w:rPr>
          <w:sz w:val="22"/>
        </w:rPr>
        <w:t>ões</w:t>
      </w:r>
      <w:proofErr w:type="spellEnd"/>
      <w:r>
        <w:rPr>
          <w:sz w:val="22"/>
        </w:rPr>
        <w:t>) nacional(</w:t>
      </w:r>
      <w:proofErr w:type="spellStart"/>
      <w:r>
        <w:rPr>
          <w:sz w:val="22"/>
        </w:rPr>
        <w:t>is</w:t>
      </w:r>
      <w:proofErr w:type="spellEnd"/>
      <w:r>
        <w:rPr>
          <w:sz w:val="22"/>
        </w:rPr>
        <w:t>) aprovado(s) de um país ou região. Estes podem ser um Padrão(</w:t>
      </w:r>
      <w:proofErr w:type="spellStart"/>
      <w:r>
        <w:rPr>
          <w:sz w:val="22"/>
        </w:rPr>
        <w:t>ões</w:t>
      </w:r>
      <w:proofErr w:type="spellEnd"/>
      <w:r>
        <w:rPr>
          <w:sz w:val="22"/>
        </w:rPr>
        <w:t>) Nacional/Regional(</w:t>
      </w:r>
      <w:proofErr w:type="spellStart"/>
      <w:r>
        <w:rPr>
          <w:sz w:val="22"/>
        </w:rPr>
        <w:t>is</w:t>
      </w:r>
      <w:proofErr w:type="spellEnd"/>
      <w:r>
        <w:rPr>
          <w:sz w:val="22"/>
        </w:rPr>
        <w:t>) Interino(s) ou um Padrão(</w:t>
      </w:r>
      <w:proofErr w:type="spellStart"/>
      <w:r>
        <w:rPr>
          <w:sz w:val="22"/>
        </w:rPr>
        <w:t>ões</w:t>
      </w:r>
      <w:proofErr w:type="spellEnd"/>
      <w:r>
        <w:rPr>
          <w:sz w:val="22"/>
        </w:rPr>
        <w:t>) Nacional/Regional(</w:t>
      </w:r>
      <w:proofErr w:type="spellStart"/>
      <w:r>
        <w:rPr>
          <w:sz w:val="22"/>
        </w:rPr>
        <w:t>is</w:t>
      </w:r>
      <w:proofErr w:type="spellEnd"/>
      <w:r>
        <w:rPr>
          <w:sz w:val="22"/>
        </w:rPr>
        <w:t>) de Manejo Florestal</w:t>
      </w:r>
      <w:r>
        <w:rPr>
          <w:rStyle w:val="Refdenotaderodap"/>
          <w:sz w:val="22"/>
        </w:rPr>
        <w:footnoteReference w:id="2"/>
      </w:r>
      <w:r>
        <w:rPr>
          <w:sz w:val="22"/>
        </w:rPr>
        <w:t xml:space="preserve">. </w:t>
      </w:r>
      <w:r>
        <w:rPr>
          <w:i/>
          <w:sz w:val="22"/>
        </w:rPr>
        <w:t>Adaptado de FSC-STD-30-005 V2-0</w:t>
      </w:r>
      <w:r>
        <w:rPr>
          <w:sz w:val="22"/>
        </w:rPr>
        <w:t>.</w:t>
      </w:r>
    </w:p>
    <w:p w14:paraId="60F891F2" w14:textId="36A4B2BE" w:rsidR="00F37DA1" w:rsidRDefault="005B50B0">
      <w:pPr>
        <w:pStyle w:val="P68B1DB1-Default14"/>
        <w:spacing w:before="120" w:after="120"/>
        <w:jc w:val="both"/>
        <w:rPr>
          <w:i/>
        </w:rPr>
      </w:pPr>
      <w:r>
        <w:rPr>
          <w:rFonts w:ascii="Arial Black" w:hAnsi="Arial Black"/>
        </w:rPr>
        <w:t>Organismo de certificação</w:t>
      </w:r>
      <w:r w:rsidR="004E7609">
        <w:rPr>
          <w:rFonts w:ascii="Arial Black" w:hAnsi="Arial Black"/>
        </w:rPr>
        <w:t xml:space="preserve"> (</w:t>
      </w:r>
      <w:r w:rsidR="00401090">
        <w:rPr>
          <w:rFonts w:ascii="Arial Black" w:hAnsi="Arial Black"/>
        </w:rPr>
        <w:t>OC</w:t>
      </w:r>
      <w:r w:rsidR="004E7609">
        <w:rPr>
          <w:rFonts w:ascii="Arial Black" w:hAnsi="Arial Black"/>
        </w:rPr>
        <w:t>):</w:t>
      </w:r>
      <w:r w:rsidR="004E7609">
        <w:t xml:space="preserve"> </w:t>
      </w:r>
      <w:proofErr w:type="spellStart"/>
      <w:r w:rsidR="004E7609">
        <w:t>Orgão</w:t>
      </w:r>
      <w:proofErr w:type="spellEnd"/>
      <w:r w:rsidR="004E7609">
        <w:t xml:space="preserve"> que realiza serviços de avaliação da conformidade e que pode ser objeto de acreditação (adaptado da ISO/IEC 17011: 2004 (E).</w:t>
      </w:r>
      <w:r w:rsidR="004E7609">
        <w:rPr>
          <w:i/>
        </w:rPr>
        <w:t xml:space="preserve"> Fonte: FSC-STD-01-002</w:t>
      </w:r>
      <w:r w:rsidR="004E7609">
        <w:t>.</w:t>
      </w:r>
    </w:p>
    <w:bookmarkEnd w:id="16"/>
    <w:p w14:paraId="5A58233F" w14:textId="2A5B4721" w:rsidR="00F37DA1" w:rsidRDefault="005B50B0">
      <w:pPr>
        <w:pStyle w:val="P68B1DB1-Normal13"/>
        <w:spacing w:before="120" w:after="120"/>
        <w:jc w:val="both"/>
        <w:rPr>
          <w:rFonts w:ascii="Arial" w:hAnsi="Arial" w:cs="Arial"/>
        </w:rPr>
      </w:pPr>
      <w:r>
        <w:rPr>
          <w:rFonts w:ascii="Arial Black" w:hAnsi="Arial Black" w:cs="Arial"/>
          <w:b/>
        </w:rPr>
        <w:t xml:space="preserve">Procedimento </w:t>
      </w:r>
      <w:r w:rsidR="004E7609">
        <w:rPr>
          <w:rFonts w:ascii="Arial Black" w:hAnsi="Arial Black" w:cs="Arial"/>
          <w:b/>
        </w:rPr>
        <w:t>de Melhoria Contínua (PMC):</w:t>
      </w:r>
      <w:r w:rsidR="004E7609">
        <w:rPr>
          <w:rFonts w:ascii="Arial" w:hAnsi="Arial" w:cs="Arial"/>
        </w:rPr>
        <w:t xml:space="preserve"> </w:t>
      </w:r>
      <w:r>
        <w:rPr>
          <w:rFonts w:ascii="Arial" w:hAnsi="Arial" w:cs="Arial"/>
        </w:rPr>
        <w:t xml:space="preserve">Procedimento </w:t>
      </w:r>
      <w:r w:rsidR="004E7609">
        <w:rPr>
          <w:rFonts w:ascii="Arial" w:hAnsi="Arial" w:cs="Arial"/>
        </w:rPr>
        <w:t xml:space="preserve">FSC que permite que seus usuários sejam certificados com base na conformidade com apenas um subconjunto dos requisitos da norma FSC aplicável, oferecendo etapas flexíveis para a conformidade total com todos os requisitos restantes, dentro do primeiro ciclo de certificação de cada Unidade de Manejo. Isso é habilitado pela distinção entre </w:t>
      </w:r>
      <w:bookmarkStart w:id="17" w:name="_Hlk74163466"/>
      <w:r w:rsidR="004E7609">
        <w:rPr>
          <w:rFonts w:ascii="Arial" w:hAnsi="Arial" w:cs="Arial"/>
        </w:rPr>
        <w:t xml:space="preserve">Critérios </w:t>
      </w:r>
      <w:r w:rsidR="00401090">
        <w:rPr>
          <w:rFonts w:ascii="Arial" w:hAnsi="Arial" w:cs="Arial"/>
        </w:rPr>
        <w:t>Centrais</w:t>
      </w:r>
      <w:r w:rsidR="004E7609">
        <w:rPr>
          <w:rFonts w:ascii="Arial" w:hAnsi="Arial" w:cs="Arial"/>
        </w:rPr>
        <w:t xml:space="preserve">, de Melhoria Contínua e Camaleão que devem ser </w:t>
      </w:r>
      <w:r w:rsidR="00CE6CA3">
        <w:rPr>
          <w:rFonts w:ascii="Arial" w:hAnsi="Arial" w:cs="Arial"/>
        </w:rPr>
        <w:t xml:space="preserve">atendidos </w:t>
      </w:r>
      <w:r w:rsidR="004E7609">
        <w:rPr>
          <w:rFonts w:ascii="Arial" w:hAnsi="Arial" w:cs="Arial"/>
        </w:rPr>
        <w:t xml:space="preserve">em diferentes </w:t>
      </w:r>
      <w:r w:rsidR="00CE6CA3">
        <w:rPr>
          <w:rFonts w:ascii="Arial" w:hAnsi="Arial" w:cs="Arial"/>
        </w:rPr>
        <w:t>momentos</w:t>
      </w:r>
      <w:r w:rsidR="004E7609">
        <w:rPr>
          <w:rFonts w:ascii="Arial" w:hAnsi="Arial" w:cs="Arial"/>
        </w:rPr>
        <w:t xml:space="preserve">. O usuário do PMC deve atender aos </w:t>
      </w:r>
      <w:r w:rsidR="00CE6CA3">
        <w:rPr>
          <w:rFonts w:ascii="Arial" w:hAnsi="Arial" w:cs="Arial"/>
        </w:rPr>
        <w:t xml:space="preserve">Critérios </w:t>
      </w:r>
      <w:r w:rsidR="00401090">
        <w:rPr>
          <w:rFonts w:ascii="Arial" w:hAnsi="Arial" w:cs="Arial"/>
        </w:rPr>
        <w:t>Centrais</w:t>
      </w:r>
      <w:r w:rsidR="004E7609">
        <w:rPr>
          <w:rFonts w:ascii="Arial" w:hAnsi="Arial" w:cs="Arial"/>
        </w:rPr>
        <w:t xml:space="preserve"> e ter um plano de ação para obter a certificação FSC na fase inicial do processo. Para manter a certificação, os Critérios de Melhoria Contínua e os Critérios Camaleão devem ser atendidos de acordo com o caminho estabelecido no Plano de Ação durante o primeiro ciclo de certificação de cada Unidade de Manejo. </w:t>
      </w:r>
    </w:p>
    <w:bookmarkEnd w:id="17"/>
    <w:p w14:paraId="1B76DEE3" w14:textId="0D9FC298" w:rsidR="00F37DA1" w:rsidRDefault="004E7609">
      <w:pPr>
        <w:pStyle w:val="P68B1DB1-Normal13"/>
        <w:spacing w:before="120" w:after="120"/>
        <w:ind w:left="720"/>
        <w:jc w:val="both"/>
        <w:rPr>
          <w:rFonts w:ascii="Arial" w:hAnsi="Arial" w:cs="Arial"/>
        </w:rPr>
      </w:pPr>
      <w:r>
        <w:rPr>
          <w:rFonts w:ascii="Arial Black" w:hAnsi="Arial Black" w:cs="Arial"/>
          <w:b/>
        </w:rPr>
        <w:t xml:space="preserve">Critérios </w:t>
      </w:r>
      <w:r w:rsidR="00401090">
        <w:rPr>
          <w:rFonts w:ascii="Arial Black" w:hAnsi="Arial Black" w:cs="Arial"/>
          <w:b/>
        </w:rPr>
        <w:t xml:space="preserve">Centrais </w:t>
      </w:r>
      <w:r>
        <w:rPr>
          <w:rFonts w:ascii="Arial Black" w:hAnsi="Arial Black" w:cs="Arial"/>
          <w:b/>
        </w:rPr>
        <w:t>(</w:t>
      </w:r>
      <w:r w:rsidR="00401090">
        <w:rPr>
          <w:rFonts w:ascii="Arial Black" w:hAnsi="Arial Black" w:cs="Arial"/>
          <w:b/>
        </w:rPr>
        <w:t>CC</w:t>
      </w:r>
      <w:r>
        <w:rPr>
          <w:rFonts w:ascii="Arial Black" w:hAnsi="Arial Black" w:cs="Arial"/>
          <w:b/>
        </w:rPr>
        <w:t>)</w:t>
      </w:r>
      <w:r>
        <w:rPr>
          <w:rFonts w:ascii="Arial Black" w:hAnsi="Arial Black" w:cs="Arial"/>
        </w:rPr>
        <w:t>:</w:t>
      </w:r>
      <w:r>
        <w:rPr>
          <w:rFonts w:ascii="Arial" w:hAnsi="Arial" w:cs="Arial"/>
        </w:rPr>
        <w:t xml:space="preserve"> Critérios dos P&amp;C do FSC cuja conformidade é indispensável no estágio inicial para o manejo florestal responsável. A conformidade com o</w:t>
      </w:r>
      <w:r w:rsidR="00CE6CA3">
        <w:rPr>
          <w:rFonts w:ascii="Arial" w:hAnsi="Arial" w:cs="Arial"/>
        </w:rPr>
        <w:t>s</w:t>
      </w:r>
      <w:r>
        <w:rPr>
          <w:rFonts w:ascii="Arial" w:hAnsi="Arial" w:cs="Arial"/>
        </w:rPr>
        <w:t xml:space="preserve"> </w:t>
      </w:r>
      <w:r w:rsidR="00401090">
        <w:rPr>
          <w:rFonts w:ascii="Arial" w:hAnsi="Arial" w:cs="Arial"/>
        </w:rPr>
        <w:t xml:space="preserve">CC </w:t>
      </w:r>
      <w:r>
        <w:rPr>
          <w:rFonts w:ascii="Arial" w:hAnsi="Arial" w:cs="Arial"/>
        </w:rPr>
        <w:t xml:space="preserve">deve ser demonstrada na auditoria principal para obter a certificação </w:t>
      </w:r>
      <w:r w:rsidR="00CE6CA3">
        <w:rPr>
          <w:rFonts w:ascii="Arial" w:hAnsi="Arial" w:cs="Arial"/>
        </w:rPr>
        <w:t xml:space="preserve">FSC </w:t>
      </w:r>
      <w:r>
        <w:rPr>
          <w:rFonts w:ascii="Arial" w:hAnsi="Arial" w:cs="Arial"/>
        </w:rPr>
        <w:t>de manejo florestal.</w:t>
      </w:r>
    </w:p>
    <w:p w14:paraId="405B8DB5" w14:textId="62E38D83" w:rsidR="00F37DA1" w:rsidRDefault="004E7609">
      <w:pPr>
        <w:pStyle w:val="P68B1DB1-Normal13"/>
        <w:spacing w:before="120" w:after="120"/>
        <w:ind w:left="720"/>
        <w:jc w:val="both"/>
        <w:rPr>
          <w:rFonts w:ascii="Arial" w:hAnsi="Arial" w:cs="Arial"/>
        </w:rPr>
      </w:pPr>
      <w:r>
        <w:rPr>
          <w:rFonts w:ascii="Arial Black" w:hAnsi="Arial Black" w:cs="Arial"/>
          <w:b/>
        </w:rPr>
        <w:t>Critérios de Melhoria Contínua (CMC)</w:t>
      </w:r>
      <w:r>
        <w:rPr>
          <w:rFonts w:ascii="Arial Black" w:hAnsi="Arial Black" w:cs="Arial"/>
        </w:rPr>
        <w:t>:</w:t>
      </w:r>
      <w:r>
        <w:rPr>
          <w:rFonts w:ascii="Arial" w:hAnsi="Arial" w:cs="Arial"/>
        </w:rPr>
        <w:t xml:space="preserve"> Critérios dos P&amp;C do FSC que devem ser atendidos pelo usuário do PMC, de acordo com o Plano de Ação, dentro do primeiro ciclo de certificação de cada Unidade de Manejo.</w:t>
      </w:r>
    </w:p>
    <w:p w14:paraId="6A0C21AC" w14:textId="44F90361" w:rsidR="00F37DA1" w:rsidRDefault="004E7609">
      <w:pPr>
        <w:pStyle w:val="P68B1DB1-Normal13"/>
        <w:spacing w:before="120" w:after="120"/>
        <w:ind w:left="720"/>
        <w:jc w:val="both"/>
        <w:rPr>
          <w:rFonts w:ascii="Arial" w:hAnsi="Arial" w:cs="Arial"/>
        </w:rPr>
      </w:pPr>
      <w:r>
        <w:rPr>
          <w:rFonts w:ascii="Arial Black" w:hAnsi="Arial Black" w:cs="Arial"/>
          <w:b/>
        </w:rPr>
        <w:t>Critérios Camaleão (CCA)</w:t>
      </w:r>
      <w:r>
        <w:rPr>
          <w:rFonts w:ascii="Arial Black" w:hAnsi="Arial Black" w:cs="Arial"/>
        </w:rPr>
        <w:t>:</w:t>
      </w:r>
      <w:r>
        <w:rPr>
          <w:rFonts w:ascii="Arial" w:hAnsi="Arial" w:cs="Arial"/>
        </w:rPr>
        <w:t xml:space="preserve"> Critérios dos P&amp;C do FSC cuja conformidade se torna obrigatória antes da implementação de atividades de perturbação do local. Se nenhuma atividade de perturbação do local ocorrer durante o primeiro ciclo de certificação da Unidade de Manejo, o CCA ainda deve </w:t>
      </w:r>
      <w:r w:rsidR="00CE6CA3">
        <w:rPr>
          <w:rFonts w:ascii="Arial" w:hAnsi="Arial" w:cs="Arial"/>
        </w:rPr>
        <w:t>ser atendido pelo</w:t>
      </w:r>
      <w:r>
        <w:rPr>
          <w:rFonts w:ascii="Arial" w:hAnsi="Arial" w:cs="Arial"/>
        </w:rPr>
        <w:t xml:space="preserve"> usuário do PMC. Nesse caso, pode ser feito a qualquer momento dentro do primeiro ciclo de certificação de cada Unidade de Manejo. </w:t>
      </w:r>
      <w:r>
        <w:rPr>
          <w:rFonts w:ascii="Arial" w:hAnsi="Arial" w:cs="Arial"/>
        </w:rPr>
        <w:br w:type="page"/>
      </w:r>
    </w:p>
    <w:p w14:paraId="4D0CE3F6" w14:textId="200388FE" w:rsidR="00F37DA1" w:rsidRDefault="004E7609">
      <w:pPr>
        <w:pStyle w:val="P68B1DB1-Normal15"/>
        <w:pBdr>
          <w:top w:val="single" w:sz="18" w:space="1" w:color="78BE20"/>
          <w:left w:val="single" w:sz="18" w:space="0" w:color="78BE20"/>
          <w:bottom w:val="single" w:sz="18" w:space="0" w:color="78BE20"/>
          <w:right w:val="single" w:sz="18" w:space="4" w:color="78BE20"/>
        </w:pBdr>
        <w:shd w:val="clear" w:color="auto" w:fill="FBFDF9"/>
        <w:tabs>
          <w:tab w:val="left" w:pos="6181"/>
        </w:tabs>
        <w:autoSpaceDE w:val="0"/>
        <w:autoSpaceDN w:val="0"/>
        <w:adjustRightInd w:val="0"/>
        <w:spacing w:before="120" w:after="120"/>
        <w:jc w:val="both"/>
        <w:rPr>
          <w:color w:val="78BE20"/>
        </w:rPr>
      </w:pPr>
      <w:r>
        <w:lastRenderedPageBreak/>
        <w:t xml:space="preserve">Caixa de </w:t>
      </w:r>
      <w:r w:rsidR="00CE6CA3">
        <w:t xml:space="preserve">informação </w:t>
      </w:r>
      <w:r>
        <w:t>1. Fluxograma da parte inicial do processo de Melhoria Contínua</w:t>
      </w:r>
    </w:p>
    <w:p w14:paraId="0292291D" w14:textId="574D6DFF" w:rsidR="00F37DA1" w:rsidRDefault="00654201">
      <w:pPr>
        <w:pStyle w:val="P68B1DB1-Normal16"/>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pPr>
      <w:r>
        <w:rPr>
          <w:noProof/>
        </w:rPr>
        <w:drawing>
          <wp:inline distT="0" distB="0" distL="0" distR="0" wp14:anchorId="45F67EAD" wp14:editId="4857B720">
            <wp:extent cx="2987098" cy="3267986"/>
            <wp:effectExtent l="0" t="0" r="0" b="317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098" cy="3267986"/>
                    </a:xfrm>
                    <a:prstGeom prst="rect">
                      <a:avLst/>
                    </a:prstGeom>
                    <a:noFill/>
                  </pic:spPr>
                </pic:pic>
              </a:graphicData>
            </a:graphic>
          </wp:inline>
        </w:drawing>
      </w:r>
    </w:p>
    <w:p w14:paraId="3C4001B8" w14:textId="294BEFF0" w:rsidR="00F37DA1" w:rsidRDefault="00F37DA1">
      <w:pPr>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rPr>
          <w:rFonts w:ascii="Arial" w:hAnsi="Arial" w:cs="Arial"/>
          <w:sz w:val="20"/>
        </w:rPr>
      </w:pPr>
    </w:p>
    <w:p w14:paraId="74E578D3" w14:textId="6436643A" w:rsidR="00F37DA1" w:rsidRDefault="004E7609">
      <w:pPr>
        <w:pStyle w:val="P68B1DB1-Normal13"/>
        <w:spacing w:before="120" w:after="120"/>
        <w:jc w:val="both"/>
        <w:rPr>
          <w:rFonts w:ascii="Arial" w:hAnsi="Arial" w:cs="Arial"/>
        </w:rPr>
      </w:pPr>
      <w:r>
        <w:rPr>
          <w:rFonts w:ascii="Arial Black" w:hAnsi="Arial Black" w:cs="Arial"/>
          <w:b/>
        </w:rPr>
        <w:t>Usuário PMC:</w:t>
      </w:r>
      <w:r>
        <w:rPr>
          <w:rFonts w:ascii="Arial" w:hAnsi="Arial" w:cs="Arial"/>
        </w:rPr>
        <w:t xml:space="preserve"> A organização que gerencia Unidades de Manejo SLIMF ou uma comunidade (dentro ou fora de um grupo) que deseja obter a certificação de manejo florestal FSC por meio da implementação do PMC.</w:t>
      </w:r>
    </w:p>
    <w:p w14:paraId="3F71FE4F" w14:textId="64C5CF9B" w:rsidR="00F37DA1" w:rsidRDefault="004E7609">
      <w:pPr>
        <w:pStyle w:val="P68B1DB1-Default14"/>
        <w:spacing w:before="120" w:after="120"/>
        <w:jc w:val="both"/>
      </w:pPr>
      <w:r>
        <w:rPr>
          <w:rFonts w:ascii="Arial Black" w:hAnsi="Arial Black"/>
          <w:b/>
          <w:color w:val="auto"/>
        </w:rPr>
        <w:t>Comunidade:</w:t>
      </w:r>
      <w:r>
        <w:t xml:space="preserve"> No contexto deste </w:t>
      </w:r>
      <w:r w:rsidR="00CE6CA3">
        <w:t>procedimento</w:t>
      </w:r>
      <w:r>
        <w:t>, uma "comunidade" é definida como um grupo de pessoas cuja Unidade de Manejo está em conformidade com a seguinte definição:</w:t>
      </w:r>
    </w:p>
    <w:p w14:paraId="295494C7" w14:textId="67CE70F7" w:rsidR="00F37DA1" w:rsidRDefault="004E7609">
      <w:pPr>
        <w:pStyle w:val="P68B1DB1-Default14"/>
        <w:spacing w:before="120" w:after="120"/>
        <w:ind w:left="720"/>
        <w:jc w:val="both"/>
      </w:pPr>
      <w:r>
        <w:rPr>
          <w:rFonts w:ascii="Arial Black" w:hAnsi="Arial Black"/>
          <w:b/>
          <w:color w:val="auto"/>
        </w:rPr>
        <w:t>Produtor Comunitário:</w:t>
      </w:r>
      <w:r>
        <w:rPr>
          <w:color w:val="auto"/>
        </w:rPr>
        <w:t xml:space="preserve"> </w:t>
      </w:r>
      <w:r>
        <w:t>Uma Unidade de Manejo Florestal em conformidade com os seguintes critérios de posse E de manejo:</w:t>
      </w:r>
    </w:p>
    <w:p w14:paraId="5FFA9CDB" w14:textId="13BA68DE" w:rsidR="00F37DA1" w:rsidRDefault="004E7609">
      <w:pPr>
        <w:autoSpaceDE w:val="0"/>
        <w:autoSpaceDN w:val="0"/>
        <w:adjustRightInd w:val="0"/>
        <w:spacing w:before="120" w:after="120"/>
        <w:ind w:left="1440"/>
        <w:jc w:val="both"/>
        <w:rPr>
          <w:rFonts w:ascii="Arial" w:hAnsi="Arial" w:cs="Arial"/>
          <w:color w:val="000000"/>
          <w:sz w:val="22"/>
        </w:rPr>
      </w:pPr>
      <w:r>
        <w:rPr>
          <w:rFonts w:ascii="Arial Black" w:hAnsi="Arial Black" w:cs="Arial"/>
          <w:b/>
          <w:sz w:val="22"/>
        </w:rPr>
        <w:t>Posse:</w:t>
      </w:r>
      <w:r>
        <w:rPr>
          <w:rFonts w:ascii="Arial" w:hAnsi="Arial" w:cs="Arial"/>
          <w:color w:val="000000"/>
          <w:sz w:val="22"/>
        </w:rPr>
        <w:t xml:space="preserve"> O direito legal de manejar uma Unidade de Manejo Florestal (por exemplo, título, arrendamento de longo prazo, concessão) é mantido em nível comunal E i) os membros da comunidade devem ser Povos Indígenas </w:t>
      </w:r>
      <w:r>
        <w:rPr>
          <w:rFonts w:ascii="Arial" w:hAnsi="Arial" w:cs="Arial"/>
          <w:color w:val="000000"/>
          <w:sz w:val="14"/>
        </w:rPr>
        <w:t xml:space="preserve"> </w:t>
      </w:r>
      <w:r>
        <w:rPr>
          <w:rFonts w:ascii="Arial" w:hAnsi="Arial" w:cs="Arial"/>
          <w:color w:val="000000"/>
          <w:sz w:val="22"/>
        </w:rPr>
        <w:t xml:space="preserve">ou </w:t>
      </w:r>
      <w:r w:rsidR="00CE6CA3">
        <w:rPr>
          <w:rFonts w:ascii="Arial" w:hAnsi="Arial" w:cs="Arial"/>
          <w:color w:val="000000"/>
          <w:sz w:val="22"/>
        </w:rPr>
        <w:t xml:space="preserve">Populações </w:t>
      </w:r>
      <w:r>
        <w:rPr>
          <w:rFonts w:ascii="Arial" w:hAnsi="Arial" w:cs="Arial"/>
          <w:color w:val="000000"/>
          <w:sz w:val="22"/>
        </w:rPr>
        <w:t xml:space="preserve">Tradicionais, OU </w:t>
      </w:r>
      <w:proofErr w:type="spellStart"/>
      <w:r>
        <w:rPr>
          <w:rFonts w:ascii="Arial" w:hAnsi="Arial" w:cs="Arial"/>
          <w:color w:val="000000"/>
          <w:sz w:val="22"/>
        </w:rPr>
        <w:t>ii</w:t>
      </w:r>
      <w:proofErr w:type="spellEnd"/>
      <w:r>
        <w:rPr>
          <w:rFonts w:ascii="Arial" w:hAnsi="Arial" w:cs="Arial"/>
          <w:color w:val="000000"/>
          <w:sz w:val="22"/>
        </w:rPr>
        <w:t>) a unidade de manejo florestal atende aos critérios de elegibilidade SLIMF.</w:t>
      </w:r>
    </w:p>
    <w:p w14:paraId="64B0B83A" w14:textId="668E37E3" w:rsidR="00F37DA1" w:rsidRDefault="004E7609">
      <w:pPr>
        <w:pStyle w:val="P68B1DB1-Normal17"/>
        <w:autoSpaceDE w:val="0"/>
        <w:autoSpaceDN w:val="0"/>
        <w:adjustRightInd w:val="0"/>
        <w:spacing w:before="120" w:after="120"/>
        <w:ind w:left="1440"/>
        <w:jc w:val="both"/>
        <w:rPr>
          <w:rFonts w:ascii="Arial" w:hAnsi="Arial" w:cs="Arial"/>
        </w:rPr>
      </w:pPr>
      <w:r>
        <w:rPr>
          <w:rFonts w:ascii="Arial Black" w:hAnsi="Arial Black" w:cs="Arial"/>
          <w:b/>
        </w:rPr>
        <w:t>Manejo</w:t>
      </w:r>
      <w:r>
        <w:rPr>
          <w:rFonts w:ascii="Arial Black" w:hAnsi="Arial Black" w:cs="Arial"/>
        </w:rPr>
        <w:t>:</w:t>
      </w:r>
      <w:r>
        <w:rPr>
          <w:rFonts w:ascii="Arial" w:hAnsi="Arial" w:cs="Arial"/>
        </w:rPr>
        <w:t xml:space="preserve"> A comunidade gerencia ativamente a Unidade de Manejo florestal por meio de um esforço conjunto (por exemplo, sob um plano de manejo florestal comunitário) OU a comunidade autoriza o manejo da floresta por terceiros (por exemplo, gerente de recursos, empreiteiros, empresa de produtos florestais).</w:t>
      </w:r>
    </w:p>
    <w:p w14:paraId="3B715788" w14:textId="7155D447" w:rsidR="00F37DA1" w:rsidRDefault="004E7609">
      <w:pPr>
        <w:pStyle w:val="P68B1DB1-Normal18"/>
        <w:autoSpaceDE w:val="0"/>
        <w:autoSpaceDN w:val="0"/>
        <w:spacing w:before="120" w:after="120"/>
        <w:ind w:left="1440"/>
        <w:jc w:val="both"/>
      </w:pPr>
      <w:bookmarkStart w:id="18" w:name="_Hlk74578788"/>
      <w:r>
        <w:t xml:space="preserve">Caso a comunidade autorize o manejo da floresta por terceiros, item i. e qualquer </w:t>
      </w:r>
      <w:r w:rsidR="00CE6CA3">
        <w:t xml:space="preserve">dos itens </w:t>
      </w:r>
      <w:proofErr w:type="spellStart"/>
      <w:r>
        <w:t>ii</w:t>
      </w:r>
      <w:proofErr w:type="spellEnd"/>
      <w:r>
        <w:t xml:space="preserve">. ou </w:t>
      </w:r>
      <w:proofErr w:type="spellStart"/>
      <w:r>
        <w:t>iii</w:t>
      </w:r>
      <w:proofErr w:type="spellEnd"/>
      <w:r>
        <w:t>. dos seguintes deve ser cumprido:</w:t>
      </w:r>
    </w:p>
    <w:p w14:paraId="7A6D35B6" w14:textId="693172DC" w:rsidR="00F37DA1" w:rsidRDefault="004E7609">
      <w:pPr>
        <w:pStyle w:val="P68B1DB1-Normal19"/>
        <w:autoSpaceDE w:val="0"/>
        <w:autoSpaceDN w:val="0"/>
        <w:adjustRightInd w:val="0"/>
        <w:spacing w:before="120" w:after="120"/>
        <w:ind w:left="2160"/>
        <w:jc w:val="both"/>
        <w:rPr>
          <w:sz w:val="22"/>
        </w:rPr>
      </w:pPr>
      <w:r>
        <w:rPr>
          <w:sz w:val="22"/>
        </w:rPr>
        <w:t>i. A própria instituição representativa da comunidade</w:t>
      </w:r>
      <w:r>
        <w:rPr>
          <w:sz w:val="14"/>
        </w:rPr>
        <w:t xml:space="preserve"> </w:t>
      </w:r>
      <w:r>
        <w:rPr>
          <w:sz w:val="22"/>
        </w:rPr>
        <w:t xml:space="preserve">tem responsabilidade legal pelas operações de colheita, E </w:t>
      </w:r>
    </w:p>
    <w:p w14:paraId="3BA561A4" w14:textId="1F1CEF5F" w:rsidR="00F37DA1" w:rsidRDefault="004E7609">
      <w:pPr>
        <w:pStyle w:val="P68B1DB1-Normal18"/>
        <w:autoSpaceDE w:val="0"/>
        <w:autoSpaceDN w:val="0"/>
        <w:adjustRightInd w:val="0"/>
        <w:spacing w:before="120" w:after="120"/>
        <w:ind w:left="1440" w:firstLine="720"/>
        <w:jc w:val="both"/>
      </w:pPr>
      <w:proofErr w:type="spellStart"/>
      <w:r>
        <w:t>ii</w:t>
      </w:r>
      <w:proofErr w:type="spellEnd"/>
      <w:r>
        <w:t xml:space="preserve">. A comunidade realiza as operações de colheita OU </w:t>
      </w:r>
    </w:p>
    <w:p w14:paraId="4E9D92C9" w14:textId="0E0821EB" w:rsidR="00F37DA1" w:rsidRDefault="004E7609">
      <w:pPr>
        <w:pStyle w:val="P68B1DB1-Normal18"/>
        <w:autoSpaceDE w:val="0"/>
        <w:autoSpaceDN w:val="0"/>
        <w:adjustRightInd w:val="0"/>
        <w:spacing w:before="120" w:after="120"/>
        <w:ind w:left="2160"/>
        <w:jc w:val="both"/>
      </w:pPr>
      <w:proofErr w:type="spellStart"/>
      <w:r>
        <w:t>iii</w:t>
      </w:r>
      <w:proofErr w:type="spellEnd"/>
      <w:r>
        <w:t xml:space="preserve">. A própria instituição representativa da comunidade é responsável pelas decisões de manejo florestal e acompanha e monitora as operações. </w:t>
      </w:r>
    </w:p>
    <w:bookmarkEnd w:id="18"/>
    <w:p w14:paraId="56C8D948" w14:textId="615B9E8E" w:rsidR="00F37DA1" w:rsidRDefault="004E7609">
      <w:pPr>
        <w:pStyle w:val="P68B1DB1-Default14"/>
        <w:spacing w:before="120" w:after="120"/>
        <w:ind w:left="720"/>
        <w:jc w:val="both"/>
      </w:pPr>
      <w:r>
        <w:rPr>
          <w:rFonts w:ascii="Arial Black" w:hAnsi="Arial Black"/>
          <w:b/>
          <w:color w:val="285C4D"/>
        </w:rPr>
        <w:t>NOTA:</w:t>
      </w:r>
      <w:r>
        <w:t xml:space="preserve"> A floresta pode estar localizada em uma floresta comunal e/ou em parcelas atribuídas individualmente, desde que o direito de uso da floresta seja de propriedade comunitária (por exemplo, este é o caso dos </w:t>
      </w:r>
      <w:proofErr w:type="spellStart"/>
      <w:r>
        <w:t>ejidos</w:t>
      </w:r>
      <w:proofErr w:type="spellEnd"/>
      <w:r>
        <w:t xml:space="preserve"> mexicanos</w:t>
      </w:r>
      <w:r>
        <w:rPr>
          <w:i/>
        </w:rPr>
        <w:t>,</w:t>
      </w:r>
      <w:r>
        <w:t xml:space="preserve"> reservas brasileiras de desenvolvimento sustentável). </w:t>
      </w:r>
      <w:r>
        <w:rPr>
          <w:i/>
        </w:rPr>
        <w:t>Fonte: FSC-STD-01-002</w:t>
      </w:r>
      <w:r>
        <w:t>.</w:t>
      </w:r>
    </w:p>
    <w:p w14:paraId="52D5E366" w14:textId="63EC3716" w:rsidR="00F37DA1" w:rsidRDefault="004E7609">
      <w:pPr>
        <w:pStyle w:val="P68B1DB1-Normal13"/>
        <w:spacing w:before="120" w:after="120"/>
        <w:jc w:val="both"/>
        <w:rPr>
          <w:rFonts w:ascii="Arial Black" w:hAnsi="Arial Black" w:cs="Arial"/>
          <w:b/>
          <w:color w:val="000000"/>
        </w:rPr>
      </w:pPr>
      <w:r>
        <w:rPr>
          <w:rFonts w:ascii="Arial Black" w:hAnsi="Arial Black" w:cs="Arial"/>
          <w:b/>
        </w:rPr>
        <w:lastRenderedPageBreak/>
        <w:t>Avaliação:</w:t>
      </w:r>
      <w:r>
        <w:rPr>
          <w:rFonts w:ascii="Arial" w:hAnsi="Arial" w:cs="Arial"/>
        </w:rPr>
        <w:t xml:space="preserve"> Os processos combinados de auditoria, revisão e decisão sobre a conformidade de um cliente com os requisitos de um </w:t>
      </w:r>
      <w:r w:rsidR="00CE6CA3">
        <w:rPr>
          <w:rFonts w:ascii="Arial" w:hAnsi="Arial" w:cs="Arial"/>
        </w:rPr>
        <w:t xml:space="preserve">padrão </w:t>
      </w:r>
      <w:r>
        <w:rPr>
          <w:rFonts w:ascii="Arial" w:hAnsi="Arial" w:cs="Arial"/>
        </w:rPr>
        <w:t>(Código de Garantia ISEAL).</w:t>
      </w:r>
      <w:r>
        <w:rPr>
          <w:rFonts w:ascii="Arial" w:hAnsi="Arial" w:cs="Arial"/>
          <w:i/>
        </w:rPr>
        <w:t xml:space="preserve"> Fonte: FSC-STD-01-002</w:t>
      </w:r>
      <w:r>
        <w:rPr>
          <w:rFonts w:ascii="Arial" w:hAnsi="Arial" w:cs="Arial"/>
        </w:rPr>
        <w:t>.</w:t>
      </w:r>
    </w:p>
    <w:p w14:paraId="7E491347" w14:textId="13F90232" w:rsidR="00F37DA1" w:rsidRDefault="004E7609">
      <w:pPr>
        <w:pStyle w:val="P68B1DB1-Normal20"/>
        <w:autoSpaceDE w:val="0"/>
        <w:autoSpaceDN w:val="0"/>
        <w:adjustRightInd w:val="0"/>
        <w:spacing w:before="120" w:after="120"/>
        <w:ind w:left="720"/>
        <w:jc w:val="both"/>
      </w:pPr>
      <w:r>
        <w:t>Tipos de avaliação:</w:t>
      </w:r>
    </w:p>
    <w:p w14:paraId="54757D0F" w14:textId="4A178CEA" w:rsidR="00F37DA1" w:rsidRDefault="004E7609">
      <w:pPr>
        <w:pStyle w:val="P68B1DB1-Normal17"/>
        <w:autoSpaceDE w:val="0"/>
        <w:autoSpaceDN w:val="0"/>
        <w:adjustRightInd w:val="0"/>
        <w:spacing w:before="120" w:after="120"/>
        <w:ind w:left="1440"/>
        <w:jc w:val="both"/>
        <w:rPr>
          <w:rFonts w:ascii="Arial" w:hAnsi="Arial" w:cs="Arial"/>
        </w:rPr>
      </w:pPr>
      <w:r>
        <w:rPr>
          <w:rFonts w:ascii="Arial Black" w:hAnsi="Arial Black" w:cs="Arial"/>
          <w:b/>
        </w:rPr>
        <w:t>Pré-avaliação:</w:t>
      </w:r>
      <w:r>
        <w:rPr>
          <w:rFonts w:ascii="Arial" w:hAnsi="Arial" w:cs="Arial"/>
        </w:rPr>
        <w:t xml:space="preserve"> Avaliação para determinar a preparação do candidato para a sua avaliação principal.</w:t>
      </w:r>
    </w:p>
    <w:p w14:paraId="3A4B995E" w14:textId="0485D889" w:rsidR="00F37DA1" w:rsidRDefault="004E7609">
      <w:pPr>
        <w:pStyle w:val="P68B1DB1-Normal17"/>
        <w:autoSpaceDE w:val="0"/>
        <w:autoSpaceDN w:val="0"/>
        <w:adjustRightInd w:val="0"/>
        <w:spacing w:before="120" w:after="120"/>
        <w:ind w:left="720" w:firstLine="720"/>
        <w:jc w:val="both"/>
        <w:rPr>
          <w:rFonts w:ascii="Arial" w:hAnsi="Arial" w:cs="Arial"/>
        </w:rPr>
      </w:pPr>
      <w:r>
        <w:rPr>
          <w:rFonts w:ascii="Arial Black" w:hAnsi="Arial Black" w:cs="Arial"/>
          <w:b/>
        </w:rPr>
        <w:t>Avaliação principal:</w:t>
      </w:r>
      <w:r>
        <w:rPr>
          <w:rFonts w:ascii="Arial" w:hAnsi="Arial" w:cs="Arial"/>
        </w:rPr>
        <w:t xml:space="preserve"> Avaliação de um candidato à certificação FSC.</w:t>
      </w:r>
    </w:p>
    <w:p w14:paraId="2FB41F6A" w14:textId="1DD0A5FC" w:rsidR="00F37DA1" w:rsidRDefault="004E7609">
      <w:pPr>
        <w:pStyle w:val="P68B1DB1-Normal17"/>
        <w:autoSpaceDE w:val="0"/>
        <w:autoSpaceDN w:val="0"/>
        <w:adjustRightInd w:val="0"/>
        <w:spacing w:before="120" w:after="120"/>
        <w:ind w:left="720" w:firstLine="720"/>
        <w:jc w:val="both"/>
        <w:rPr>
          <w:rFonts w:ascii="Arial" w:hAnsi="Arial" w:cs="Arial"/>
        </w:rPr>
      </w:pPr>
      <w:r>
        <w:rPr>
          <w:rFonts w:ascii="Arial Black" w:hAnsi="Arial Black" w:cs="Arial"/>
          <w:b/>
        </w:rPr>
        <w:t>Reavaliação:</w:t>
      </w:r>
      <w:r>
        <w:rPr>
          <w:rFonts w:ascii="Arial" w:hAnsi="Arial" w:cs="Arial"/>
        </w:rPr>
        <w:t xml:space="preserve"> Avaliação para recertificação.</w:t>
      </w:r>
    </w:p>
    <w:p w14:paraId="315509B3" w14:textId="780A1FEE" w:rsidR="00F37DA1" w:rsidRDefault="004E7609">
      <w:pPr>
        <w:pStyle w:val="P68B1DB1-Normal17"/>
        <w:autoSpaceDE w:val="0"/>
        <w:autoSpaceDN w:val="0"/>
        <w:adjustRightInd w:val="0"/>
        <w:spacing w:before="120" w:after="120"/>
        <w:ind w:left="1440"/>
        <w:jc w:val="both"/>
      </w:pPr>
      <w:r>
        <w:rPr>
          <w:rFonts w:ascii="Arial Black" w:hAnsi="Arial Black" w:cs="Arial"/>
          <w:b/>
        </w:rPr>
        <w:t xml:space="preserve">Avaliação de </w:t>
      </w:r>
      <w:r w:rsidR="00CE6CA3">
        <w:rPr>
          <w:rFonts w:ascii="Arial Black" w:hAnsi="Arial Black" w:cs="Arial"/>
          <w:b/>
        </w:rPr>
        <w:t>monitoramento</w:t>
      </w:r>
      <w:r>
        <w:rPr>
          <w:rFonts w:ascii="Arial Black" w:hAnsi="Arial Black" w:cs="Arial"/>
          <w:b/>
        </w:rPr>
        <w:t>:</w:t>
      </w:r>
      <w:r>
        <w:rPr>
          <w:rFonts w:ascii="Arial" w:hAnsi="Arial" w:cs="Arial"/>
        </w:rPr>
        <w:t xml:space="preserve"> Repetição sistemática de atividades de avaliação de conformidade como base para manter a validade da certificação FSC.</w:t>
      </w:r>
    </w:p>
    <w:p w14:paraId="20CF6F81" w14:textId="1BBF0871" w:rsidR="00F37DA1" w:rsidRDefault="004E7609">
      <w:pPr>
        <w:autoSpaceDE w:val="0"/>
        <w:autoSpaceDN w:val="0"/>
        <w:adjustRightInd w:val="0"/>
        <w:spacing w:before="120" w:after="120"/>
        <w:jc w:val="both"/>
        <w:rPr>
          <w:rFonts w:ascii="Arial" w:hAnsi="Arial" w:cs="Arial"/>
          <w:color w:val="000000"/>
          <w:sz w:val="22"/>
        </w:rPr>
      </w:pPr>
      <w:r>
        <w:rPr>
          <w:rFonts w:ascii="Arial Black" w:hAnsi="Arial Black" w:cs="Arial"/>
          <w:b/>
          <w:sz w:val="22"/>
        </w:rPr>
        <w:t>Povos Indígenas:</w:t>
      </w:r>
      <w:r>
        <w:rPr>
          <w:rFonts w:ascii="Arial" w:hAnsi="Arial" w:cs="Arial"/>
          <w:sz w:val="20"/>
        </w:rPr>
        <w:t xml:space="preserve"> </w:t>
      </w:r>
      <w:r>
        <w:rPr>
          <w:rFonts w:ascii="Arial" w:hAnsi="Arial" w:cs="Arial"/>
          <w:color w:val="000000"/>
          <w:sz w:val="22"/>
        </w:rPr>
        <w:t>Pessoas e grupos de pessoas que podem ser identificados ou caracterizados como:</w:t>
      </w:r>
    </w:p>
    <w:p w14:paraId="7319639B" w14:textId="3F8CF310" w:rsidR="00F37DA1" w:rsidRDefault="004E7609">
      <w:pPr>
        <w:pStyle w:val="P68B1DB1-Prrafodelista21"/>
        <w:numPr>
          <w:ilvl w:val="0"/>
          <w:numId w:val="38"/>
        </w:numPr>
        <w:autoSpaceDE w:val="0"/>
        <w:autoSpaceDN w:val="0"/>
        <w:adjustRightInd w:val="0"/>
        <w:spacing w:before="120" w:after="120"/>
        <w:jc w:val="both"/>
      </w:pPr>
      <w:r>
        <w:t xml:space="preserve">A principal característica ou critério é a </w:t>
      </w:r>
      <w:proofErr w:type="spellStart"/>
      <w:r>
        <w:t>auto-identificação</w:t>
      </w:r>
      <w:proofErr w:type="spellEnd"/>
      <w:r>
        <w:t xml:space="preserve"> como Povos Indígenas no nível individual e a aceitação pela comunidade como seu membro.</w:t>
      </w:r>
    </w:p>
    <w:p w14:paraId="300F2C7E" w14:textId="1D557053" w:rsidR="00F37DA1" w:rsidRDefault="004E7609">
      <w:pPr>
        <w:pStyle w:val="P68B1DB1-Prrafodelista21"/>
        <w:numPr>
          <w:ilvl w:val="0"/>
          <w:numId w:val="38"/>
        </w:numPr>
        <w:autoSpaceDE w:val="0"/>
        <w:autoSpaceDN w:val="0"/>
        <w:adjustRightInd w:val="0"/>
        <w:spacing w:before="120" w:after="120"/>
        <w:jc w:val="both"/>
      </w:pPr>
      <w:r>
        <w:t xml:space="preserve">Continuidade histórica com sociedades pré-coloniais e/ou </w:t>
      </w:r>
      <w:proofErr w:type="spellStart"/>
      <w:r>
        <w:t>pré</w:t>
      </w:r>
      <w:proofErr w:type="spellEnd"/>
      <w:r>
        <w:t xml:space="preserve">-colonizadoras. </w:t>
      </w:r>
    </w:p>
    <w:p w14:paraId="512AA8ED" w14:textId="71C2ECE0" w:rsidR="00F37DA1" w:rsidRDefault="004E7609">
      <w:pPr>
        <w:pStyle w:val="P68B1DB1-Prrafodelista21"/>
        <w:numPr>
          <w:ilvl w:val="0"/>
          <w:numId w:val="38"/>
        </w:numPr>
        <w:autoSpaceDE w:val="0"/>
        <w:autoSpaceDN w:val="0"/>
        <w:adjustRightInd w:val="0"/>
        <w:spacing w:before="120" w:after="120"/>
        <w:jc w:val="both"/>
      </w:pPr>
      <w:r>
        <w:t>Forte ligação aos territórios e recursos naturais circundantes.</w:t>
      </w:r>
    </w:p>
    <w:p w14:paraId="6C9F6D0D" w14:textId="0051E7E5" w:rsidR="00F37DA1" w:rsidRDefault="004E7609">
      <w:pPr>
        <w:pStyle w:val="P68B1DB1-Prrafodelista21"/>
        <w:numPr>
          <w:ilvl w:val="0"/>
          <w:numId w:val="38"/>
        </w:numPr>
        <w:autoSpaceDE w:val="0"/>
        <w:autoSpaceDN w:val="0"/>
        <w:adjustRightInd w:val="0"/>
        <w:spacing w:before="120" w:after="120"/>
        <w:jc w:val="both"/>
      </w:pPr>
      <w:r>
        <w:t>Sistemas sociais, econômicos ou políticos distintos.</w:t>
      </w:r>
    </w:p>
    <w:p w14:paraId="3B278D93" w14:textId="6139DE0F" w:rsidR="00F37DA1" w:rsidRDefault="004E7609">
      <w:pPr>
        <w:pStyle w:val="P68B1DB1-Prrafodelista21"/>
        <w:numPr>
          <w:ilvl w:val="0"/>
          <w:numId w:val="38"/>
        </w:numPr>
        <w:autoSpaceDE w:val="0"/>
        <w:autoSpaceDN w:val="0"/>
        <w:adjustRightInd w:val="0"/>
        <w:spacing w:before="120" w:after="120"/>
        <w:jc w:val="both"/>
      </w:pPr>
      <w:r>
        <w:t>Língua, cultura e crenças distintas.</w:t>
      </w:r>
    </w:p>
    <w:p w14:paraId="776F11FF" w14:textId="157C99F3" w:rsidR="00F37DA1" w:rsidRDefault="004E7609">
      <w:pPr>
        <w:pStyle w:val="P68B1DB1-Prrafodelista21"/>
        <w:numPr>
          <w:ilvl w:val="0"/>
          <w:numId w:val="38"/>
        </w:numPr>
        <w:autoSpaceDE w:val="0"/>
        <w:autoSpaceDN w:val="0"/>
        <w:adjustRightInd w:val="0"/>
        <w:spacing w:before="120" w:after="120"/>
        <w:jc w:val="both"/>
      </w:pPr>
      <w:r>
        <w:t>Formar grupos não dominantes da sociedade.</w:t>
      </w:r>
    </w:p>
    <w:p w14:paraId="015B50F3" w14:textId="33B6A2B2" w:rsidR="00F37DA1" w:rsidRDefault="004E7609">
      <w:pPr>
        <w:pStyle w:val="P68B1DB1-Prrafodelista21"/>
        <w:numPr>
          <w:ilvl w:val="0"/>
          <w:numId w:val="38"/>
        </w:numPr>
        <w:autoSpaceDE w:val="0"/>
        <w:autoSpaceDN w:val="0"/>
        <w:adjustRightInd w:val="0"/>
        <w:spacing w:before="120" w:after="120"/>
        <w:jc w:val="both"/>
      </w:pPr>
      <w:r>
        <w:t>Decidir manter e reproduzir seus ambientes e sistemas ancestrais como povos e comunidades distintos.</w:t>
      </w:r>
    </w:p>
    <w:p w14:paraId="35F4F863" w14:textId="2E8F4890" w:rsidR="00F37DA1" w:rsidRDefault="004E7609">
      <w:pPr>
        <w:pStyle w:val="P68B1DB1-Normal22"/>
        <w:autoSpaceDE w:val="0"/>
        <w:autoSpaceDN w:val="0"/>
        <w:adjustRightInd w:val="0"/>
        <w:spacing w:before="120" w:after="120"/>
        <w:ind w:left="720"/>
        <w:jc w:val="both"/>
      </w:pPr>
      <w:r>
        <w:t>(Fonte: Adaptado do Fórum Permanente das Nações Unidas sobre Questões Indígenas, Folha de Dados 'Quem são os Povos Indígenas', outubro de 2007; Grupo de Desenvolvimento das Nações Unidas, 'Diretrizes sobre Questões Indígenas', Unidos</w:t>
      </w:r>
    </w:p>
    <w:p w14:paraId="4C7C80BA" w14:textId="0897C977" w:rsidR="00F37DA1" w:rsidRDefault="004E7609">
      <w:pPr>
        <w:autoSpaceDE w:val="0"/>
        <w:autoSpaceDN w:val="0"/>
        <w:adjustRightInd w:val="0"/>
        <w:spacing w:before="120" w:after="120"/>
        <w:ind w:left="720"/>
        <w:jc w:val="both"/>
      </w:pPr>
      <w:r>
        <w:rPr>
          <w:rFonts w:ascii="Arial-ItalicMT" w:hAnsi="Arial-ItalicMT" w:cs="Arial-ItalicMT"/>
          <w:i/>
          <w:sz w:val="18"/>
        </w:rPr>
        <w:t>Nações 2009, Declaração das Nações Unidas sobre os Direitos dos Povos Indígenas, 13 de setembro de 2007)</w:t>
      </w:r>
      <w:r>
        <w:rPr>
          <w:rFonts w:ascii="Arial" w:hAnsi="Arial" w:cs="Arial"/>
          <w:i/>
          <w:sz w:val="22"/>
        </w:rPr>
        <w:t xml:space="preserve"> Fonte: FSC-STD-01-001 V5-2</w:t>
      </w:r>
      <w:r>
        <w:rPr>
          <w:rFonts w:ascii="Arial" w:hAnsi="Arial" w:cs="Arial"/>
          <w:sz w:val="22"/>
        </w:rPr>
        <w:t>.</w:t>
      </w:r>
    </w:p>
    <w:p w14:paraId="048157E9" w14:textId="4AA62946" w:rsidR="00F37DA1" w:rsidRDefault="004E7609">
      <w:pPr>
        <w:pStyle w:val="P68B1DB1-Default14"/>
        <w:spacing w:before="120" w:after="120"/>
        <w:jc w:val="both"/>
        <w:rPr>
          <w:b/>
        </w:rPr>
      </w:pPr>
      <w:r>
        <w:rPr>
          <w:rFonts w:ascii="Arial Black" w:hAnsi="Arial Black"/>
          <w:b/>
        </w:rPr>
        <w:t>Atividades de perturbação do local:</w:t>
      </w:r>
      <w:r>
        <w:t xml:space="preserve"> Atividades de manejo florestal com risco de impactar adversamente qualquer valor da floresta, incluindo valores econômicos, ambientais e/ou sociais. </w:t>
      </w:r>
      <w:r>
        <w:rPr>
          <w:i/>
        </w:rPr>
        <w:t>Fonte: FSC-STD-30-005 V2-0.</w:t>
      </w:r>
    </w:p>
    <w:p w14:paraId="2960E1CD" w14:textId="3777DE9B" w:rsidR="00F37DA1" w:rsidRDefault="004E7609">
      <w:pPr>
        <w:pStyle w:val="P68B1DB1-Default14"/>
        <w:spacing w:before="120" w:after="120"/>
        <w:jc w:val="both"/>
        <w:rPr>
          <w:b/>
        </w:rPr>
      </w:pPr>
      <w:r>
        <w:rPr>
          <w:rFonts w:ascii="Arial Black" w:hAnsi="Arial Black"/>
          <w:b/>
        </w:rPr>
        <w:t>SLIMF (Manejo florestal em pequena escala ou de baixa intensidade):</w:t>
      </w:r>
      <w:r>
        <w:rPr>
          <w:b/>
        </w:rPr>
        <w:t xml:space="preserve"> </w:t>
      </w:r>
      <w:r>
        <w:t xml:space="preserve">Unidade de manejo florestal que atende aos requisitos específicos do FSC relacionados ao tamanho e/ou intensidade. </w:t>
      </w:r>
      <w:r>
        <w:rPr>
          <w:i/>
        </w:rPr>
        <w:t>Fonte: FSC-STD-20-012 V1-1.</w:t>
      </w:r>
    </w:p>
    <w:p w14:paraId="3D64974E" w14:textId="23167D46" w:rsidR="00D0169A" w:rsidRDefault="004E7609">
      <w:pPr>
        <w:pStyle w:val="P68B1DB1-Normal13"/>
        <w:spacing w:before="120" w:after="120"/>
        <w:jc w:val="both"/>
        <w:rPr>
          <w:rFonts w:ascii="Arial" w:hAnsi="Arial" w:cs="Arial"/>
        </w:rPr>
      </w:pPr>
      <w:bookmarkStart w:id="19" w:name="_Hlk72223869"/>
      <w:r>
        <w:rPr>
          <w:rFonts w:ascii="Arial Black" w:hAnsi="Arial Black" w:cs="Arial"/>
          <w:b/>
        </w:rPr>
        <w:t>Especialista técnico:</w:t>
      </w:r>
      <w:r>
        <w:rPr>
          <w:rFonts w:ascii="Arial" w:hAnsi="Arial" w:cs="Arial"/>
        </w:rPr>
        <w:t xml:space="preserve"> Uma pessoa que </w:t>
      </w:r>
      <w:r w:rsidR="00D0169A">
        <w:rPr>
          <w:rFonts w:ascii="Arial" w:hAnsi="Arial" w:cs="Arial"/>
        </w:rPr>
        <w:t xml:space="preserve">apoia </w:t>
      </w:r>
      <w:r>
        <w:rPr>
          <w:rFonts w:ascii="Arial" w:hAnsi="Arial" w:cs="Arial"/>
        </w:rPr>
        <w:t xml:space="preserve">uma equipe de auditoria, fornecendo conhecimento ou experiência </w:t>
      </w:r>
      <w:bookmarkEnd w:id="19"/>
      <w:r>
        <w:rPr>
          <w:rFonts w:ascii="Arial" w:hAnsi="Arial" w:cs="Arial"/>
        </w:rPr>
        <w:t xml:space="preserve">específica sobre um setor, conteúdo, processo ou atividade específica que está sendo auditada. A pessoa não atua como auditor. </w:t>
      </w:r>
      <w:r>
        <w:rPr>
          <w:rFonts w:ascii="Arial" w:hAnsi="Arial" w:cs="Arial"/>
          <w:i/>
        </w:rPr>
        <w:t>Fonte: FSC-STD-20-001 V4-0</w:t>
      </w:r>
      <w:r>
        <w:rPr>
          <w:rFonts w:ascii="Arial" w:hAnsi="Arial" w:cs="Arial"/>
        </w:rPr>
        <w:t>.</w:t>
      </w:r>
    </w:p>
    <w:p w14:paraId="6C0E1D4B" w14:textId="6468A1CE" w:rsidR="00654201" w:rsidRDefault="00D0169A" w:rsidP="00D0169A">
      <w:pPr>
        <w:pStyle w:val="P68B1DB1-Normal13"/>
        <w:spacing w:before="120" w:after="120"/>
        <w:jc w:val="both"/>
        <w:rPr>
          <w:rFonts w:ascii="Arial" w:hAnsi="Arial" w:cs="Arial"/>
        </w:rPr>
      </w:pPr>
      <w:r>
        <w:rPr>
          <w:rFonts w:ascii="Arial Black" w:hAnsi="Arial Black" w:cs="Arial"/>
          <w:b/>
        </w:rPr>
        <w:t xml:space="preserve">Populações </w:t>
      </w:r>
      <w:r w:rsidR="004E7609">
        <w:rPr>
          <w:rFonts w:ascii="Arial Black" w:hAnsi="Arial Black" w:cs="Arial"/>
          <w:b/>
        </w:rPr>
        <w:t>tradicionais:</w:t>
      </w:r>
      <w:r w:rsidR="004E7609">
        <w:rPr>
          <w:rFonts w:ascii="Arial" w:hAnsi="Arial" w:cs="Arial"/>
        </w:rPr>
        <w:t xml:space="preserve"> </w:t>
      </w:r>
      <w:r>
        <w:rPr>
          <w:rFonts w:ascii="Arial" w:hAnsi="Arial" w:cs="Arial"/>
        </w:rPr>
        <w:t>As populações</w:t>
      </w:r>
      <w:r w:rsidR="004E7609">
        <w:rPr>
          <w:rFonts w:ascii="Arial" w:hAnsi="Arial" w:cs="Arial"/>
        </w:rPr>
        <w:t xml:space="preserve"> tradicionais são grupos sociais ou povos que não se </w:t>
      </w:r>
      <w:r>
        <w:rPr>
          <w:rFonts w:ascii="Arial" w:hAnsi="Arial" w:cs="Arial"/>
        </w:rPr>
        <w:t>auto identificam</w:t>
      </w:r>
      <w:r w:rsidR="004E7609">
        <w:rPr>
          <w:rFonts w:ascii="Arial" w:hAnsi="Arial" w:cs="Arial"/>
        </w:rPr>
        <w:t xml:space="preserve"> como indígenas e que afirmam os direitos às suas terras, florestas e outros recursos com base em costumes </w:t>
      </w:r>
      <w:r>
        <w:rPr>
          <w:rFonts w:ascii="Arial" w:hAnsi="Arial" w:cs="Arial"/>
        </w:rPr>
        <w:t xml:space="preserve">há muito </w:t>
      </w:r>
      <w:r w:rsidR="004E7609">
        <w:rPr>
          <w:rFonts w:ascii="Arial" w:hAnsi="Arial" w:cs="Arial"/>
        </w:rPr>
        <w:t xml:space="preserve">estabelecidos ou ocupação e uso tradicional (Fonte: Programa dos Povos da Floresta (Marcus </w:t>
      </w:r>
      <w:proofErr w:type="spellStart"/>
      <w:r w:rsidR="004E7609">
        <w:rPr>
          <w:rFonts w:ascii="Arial" w:hAnsi="Arial" w:cs="Arial"/>
        </w:rPr>
        <w:t>Colchester</w:t>
      </w:r>
      <w:proofErr w:type="spellEnd"/>
      <w:r w:rsidR="004E7609">
        <w:rPr>
          <w:rFonts w:ascii="Arial" w:hAnsi="Arial" w:cs="Arial"/>
        </w:rPr>
        <w:t>, 7 de outubro de 2009).Fonte: FSC-STD 01-001 V5-2</w:t>
      </w:r>
    </w:p>
    <w:p w14:paraId="6F1F36A0" w14:textId="7B369FB5" w:rsidR="00654201" w:rsidRDefault="003F699B" w:rsidP="00D0169A">
      <w:pPr>
        <w:pStyle w:val="P68B1DB1-Normal13"/>
        <w:spacing w:before="120" w:after="120"/>
        <w:jc w:val="both"/>
        <w:rPr>
          <w:rFonts w:ascii="Arial" w:hAnsi="Arial" w:cs="Arial"/>
        </w:rPr>
      </w:pPr>
      <w:r>
        <w:rPr>
          <w:rFonts w:ascii="Arial" w:hAnsi="Arial" w:cs="Arial"/>
          <w:noProof/>
        </w:rPr>
        <w:lastRenderedPageBreak/>
        <mc:AlternateContent>
          <mc:Choice Requires="wps">
            <w:drawing>
              <wp:anchor distT="45720" distB="45720" distL="114300" distR="114300" simplePos="0" relativeHeight="251660288" behindDoc="0" locked="0" layoutInCell="1" allowOverlap="1" wp14:anchorId="73933897" wp14:editId="6B461205">
                <wp:simplePos x="0" y="0"/>
                <wp:positionH relativeFrom="column">
                  <wp:posOffset>0</wp:posOffset>
                </wp:positionH>
                <wp:positionV relativeFrom="paragraph">
                  <wp:posOffset>275590</wp:posOffset>
                </wp:positionV>
                <wp:extent cx="6311900" cy="2242185"/>
                <wp:effectExtent l="0" t="0" r="12700" b="2222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2242185"/>
                        </a:xfrm>
                        <a:prstGeom prst="rect">
                          <a:avLst/>
                        </a:prstGeom>
                        <a:solidFill>
                          <a:srgbClr val="FFFFFF"/>
                        </a:solidFill>
                        <a:ln w="9525">
                          <a:solidFill>
                            <a:srgbClr val="000000"/>
                          </a:solidFill>
                          <a:miter lim="800000"/>
                          <a:headEnd/>
                          <a:tailEnd/>
                        </a:ln>
                      </wps:spPr>
                      <wps:txbx>
                        <w:txbxContent>
                          <w:p w14:paraId="49CA5A64" w14:textId="77777777" w:rsidR="00654201" w:rsidRDefault="00654201" w:rsidP="00654201">
                            <w:pPr>
                              <w:pStyle w:val="P68B1DB1-Normal1"/>
                              <w:spacing w:before="120" w:after="120"/>
                              <w:jc w:val="both"/>
                              <w:rPr>
                                <w:sz w:val="20"/>
                              </w:rPr>
                            </w:pPr>
                            <w:r>
                              <w:rPr>
                                <w:b/>
                                <w:sz w:val="22"/>
                              </w:rPr>
                              <w:t xml:space="preserve">Formas verbais para a expressão de disposições </w:t>
                            </w:r>
                            <w:r>
                              <w:rPr>
                                <w:sz w:val="20"/>
                              </w:rPr>
                              <w:t>(adaptado das Diretivas ISO/IEC Parte 2: Regras para a estrutura e redação de Normas Internacionais)</w:t>
                            </w:r>
                          </w:p>
                          <w:p w14:paraId="72FA9BF2" w14:textId="77777777" w:rsidR="00654201" w:rsidRDefault="00654201" w:rsidP="00654201">
                            <w:pPr>
                              <w:pStyle w:val="P68B1DB1-Normal6"/>
                              <w:spacing w:before="120" w:after="120"/>
                              <w:jc w:val="both"/>
                            </w:pPr>
                            <w:r>
                              <w:t>“Deve</w:t>
                            </w:r>
                            <w:r>
                              <w:rPr>
                                <w:i/>
                              </w:rPr>
                              <w:t>”:</w:t>
                            </w:r>
                            <w:r>
                              <w:t xml:space="preserve"> indica os requisitos a serem seguidos estritamente para estar em conformidade com a norma.</w:t>
                            </w:r>
                          </w:p>
                          <w:p w14:paraId="133D8927" w14:textId="234FF999" w:rsidR="00654201" w:rsidRDefault="00654201" w:rsidP="00654201">
                            <w:pPr>
                              <w:pStyle w:val="P68B1DB1-Normal6"/>
                              <w:spacing w:before="120" w:after="120"/>
                              <w:jc w:val="both"/>
                            </w:pPr>
                            <w:r>
                              <w:t>“Deveria”: Instrução usada para indicar que, entre várias possibilidades, uma é recomendada como particularmente adequada, sem mencionar ou excluir outras, ou que um determinado curso de ação é preferido, mas não necessariamente exigido. Um Organismo de Certificação (OC) pode atender a esses requisitos de maneira equivalente, desde que isso possa ser demonstrado e justificado.</w:t>
                            </w:r>
                          </w:p>
                          <w:p w14:paraId="3AC368EC" w14:textId="77777777" w:rsidR="00654201" w:rsidRDefault="00654201" w:rsidP="00654201">
                            <w:pPr>
                              <w:pStyle w:val="P68B1DB1-Normal6"/>
                              <w:spacing w:before="120" w:after="120"/>
                              <w:jc w:val="both"/>
                            </w:pPr>
                            <w:r>
                              <w:t>“Poderia”: indica um curso de ação permitido dentro dos limites do documento.</w:t>
                            </w:r>
                          </w:p>
                          <w:p w14:paraId="759CF1B5" w14:textId="77777777" w:rsidR="00654201" w:rsidRDefault="00654201" w:rsidP="00654201">
                            <w:pPr>
                              <w:pStyle w:val="P68B1DB1-Normal6"/>
                            </w:pPr>
                            <w:r>
                              <w:t>“Pode”: é usado para declarações de possibilidade e capacidade, sejam materiais, físicas ou causais.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3897" id="Cuadro de texto 2" o:spid="_x0000_s1027" type="#_x0000_t202" style="position:absolute;left:0;text-align:left;margin-left:0;margin-top:21.7pt;width:497pt;height:176.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">
                <v:textbox>
                  <w:txbxContent>
                    <w:p w14:paraId="49CA5A64" w14:textId="77777777" w:rsidR="00654201" w:rsidRDefault="00654201" w:rsidP="00654201">
                      <w:pPr>
                        <w:pStyle w:val="P68B1DB1-Normal1"/>
                        <w:spacing w:before="120" w:after="120"/>
                        <w:jc w:val="both"/>
                        <w:rPr>
                          <w:sz w:val="20"/>
                        </w:rPr>
                      </w:pPr>
                      <w:r>
                        <w:rPr>
                          <w:b/>
                          <w:sz w:val="22"/>
                        </w:rPr>
                        <w:t xml:space="preserve">Formas verbais para a expressão de disposições </w:t>
                      </w:r>
                      <w:r>
                        <w:rPr>
                          <w:sz w:val="20"/>
                        </w:rPr>
                        <w:t>(adaptado das Diretivas ISO/IEC Parte 2: Regras para a estrutura e redação de Normas Internacionais)</w:t>
                      </w:r>
                    </w:p>
                    <w:p w14:paraId="72FA9BF2" w14:textId="77777777" w:rsidR="00654201" w:rsidRDefault="00654201" w:rsidP="00654201">
                      <w:pPr>
                        <w:pStyle w:val="P68B1DB1-Normal6"/>
                        <w:spacing w:before="120" w:after="120"/>
                        <w:jc w:val="both"/>
                      </w:pPr>
                      <w:r>
                        <w:t>“Deve</w:t>
                      </w:r>
                      <w:r>
                        <w:rPr>
                          <w:i/>
                        </w:rPr>
                        <w:t>”:</w:t>
                      </w:r>
                      <w:r>
                        <w:t xml:space="preserve"> indica os requisitos a serem seguidos estritamente para estar em conformidade com a norma.</w:t>
                      </w:r>
                    </w:p>
                    <w:p w14:paraId="133D8927" w14:textId="234FF999" w:rsidR="00654201" w:rsidRDefault="00654201" w:rsidP="00654201">
                      <w:pPr>
                        <w:pStyle w:val="P68B1DB1-Normal6"/>
                        <w:spacing w:before="120" w:after="120"/>
                        <w:jc w:val="both"/>
                      </w:pPr>
                      <w:r>
                        <w:t>“Deveria”: Instrução usada para indicar que, entre várias possibilidades, uma é recomendada como particularmente adequada, sem mencionar ou excluir outras, ou que um determinado curso de ação é preferido, mas não necessariamente exigido. Um Organismo de Certificação (OC) pode atender a esses requisitos de maneira equivalente, desde que isso possa ser demonstrado e justificado.</w:t>
                      </w:r>
                    </w:p>
                    <w:p w14:paraId="3AC368EC" w14:textId="77777777" w:rsidR="00654201" w:rsidRDefault="00654201" w:rsidP="00654201">
                      <w:pPr>
                        <w:pStyle w:val="P68B1DB1-Normal6"/>
                        <w:spacing w:before="120" w:after="120"/>
                        <w:jc w:val="both"/>
                      </w:pPr>
                      <w:r>
                        <w:t>“Poderia”: indica um curso de ação permitido dentro dos limites do documento.</w:t>
                      </w:r>
                    </w:p>
                    <w:p w14:paraId="759CF1B5" w14:textId="77777777" w:rsidR="00654201" w:rsidRDefault="00654201" w:rsidP="00654201">
                      <w:pPr>
                        <w:pStyle w:val="P68B1DB1-Normal6"/>
                      </w:pPr>
                      <w:r>
                        <w:t>“Pode”: é usado para declarações de possibilidade e capacidade, sejam materiais, físicas ou causais.</w:t>
                      </w:r>
                    </w:p>
                  </w:txbxContent>
                </v:textbox>
                <w10:wrap type="square"/>
              </v:shape>
            </w:pict>
          </mc:Fallback>
        </mc:AlternateContent>
      </w:r>
    </w:p>
    <w:p w14:paraId="07E42D33" w14:textId="77777777" w:rsidR="00654201" w:rsidRDefault="00654201" w:rsidP="00D0169A">
      <w:pPr>
        <w:pStyle w:val="P68B1DB1-Normal13"/>
        <w:spacing w:before="120" w:after="120"/>
        <w:jc w:val="both"/>
        <w:rPr>
          <w:rFonts w:ascii="Arial" w:hAnsi="Arial" w:cs="Arial"/>
        </w:rPr>
      </w:pPr>
    </w:p>
    <w:p w14:paraId="6EE02B9F" w14:textId="49EA412C" w:rsidR="00F37DA1" w:rsidRDefault="00F37DA1" w:rsidP="00DB3C6B">
      <w:pPr>
        <w:pStyle w:val="P68B1DB1-Normal13"/>
        <w:spacing w:before="120" w:after="120"/>
        <w:jc w:val="both"/>
        <w:rPr>
          <w:rFonts w:ascii="Arial" w:hAnsi="Arial" w:cs="Arial"/>
        </w:rPr>
      </w:pPr>
    </w:p>
    <w:p w14:paraId="7AE7E7B7" w14:textId="3AD30DDA" w:rsidR="00F37DA1" w:rsidRDefault="004E7609">
      <w:pPr>
        <w:pStyle w:val="P68B1DB1-Normal13"/>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cs="Arial"/>
        </w:rPr>
      </w:pPr>
      <w:r>
        <w:rPr>
          <w:rFonts w:ascii="Arial Black" w:hAnsi="Arial Black" w:cs="Arial"/>
          <w:color w:val="285C4D"/>
        </w:rPr>
        <w:t>NOTA:</w:t>
      </w:r>
      <w:r>
        <w:rPr>
          <w:rFonts w:ascii="Arial" w:hAnsi="Arial" w:cs="Arial"/>
        </w:rPr>
        <w:t xml:space="preserve"> A Parte I descreve os requisitos para a Organização que se qualifica como usuário do PMC para obter a certificação de manejo florestal do FSC. Esta parte é aplicável apenas no primeiro ciclo de certificação de 5 anos de cada Unidade de Manejo. No caso de certificações em grupo, o PMC é aplicável durante todos os ciclos de certificação, mas dentro do grupo, ele só pode ser usado por cada Unidade de Manejo durante os primeiros 5 anos de adesão ao grupo. Após os primeiros 5 anos, as Unidades de Manejo que estão aplicando o PMC devem estar em conformidade com </w:t>
      </w:r>
      <w:r w:rsidR="00D0169A">
        <w:rPr>
          <w:rFonts w:ascii="Arial" w:hAnsi="Arial" w:cs="Arial"/>
        </w:rPr>
        <w:t xml:space="preserve">todo </w:t>
      </w:r>
      <w:r>
        <w:rPr>
          <w:rFonts w:ascii="Arial" w:hAnsi="Arial" w:cs="Arial"/>
        </w:rPr>
        <w:t>o padrão FSC aplicável.</w:t>
      </w:r>
    </w:p>
    <w:p w14:paraId="5A5887BF" w14:textId="474F5E3D" w:rsidR="00F37DA1" w:rsidRDefault="004E7609">
      <w:pPr>
        <w:pStyle w:val="P68B1DB1-Normal6"/>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pPr>
      <w:r>
        <w:t xml:space="preserve">A Parte II contém os requisitos adicionais para as </w:t>
      </w:r>
      <w:r>
        <w:rPr>
          <w:i/>
        </w:rPr>
        <w:t>Avaliações de Manejo Florestal</w:t>
      </w:r>
      <w:r>
        <w:t xml:space="preserve"> FSC-STD-20-007 que os </w:t>
      </w:r>
      <w:r w:rsidR="00D0169A">
        <w:t>organismos de certificação</w:t>
      </w:r>
      <w:r>
        <w:t xml:space="preserve"> devem cumprir ao avaliar as organizações que estão aplicando este </w:t>
      </w:r>
      <w:r w:rsidR="00D0169A">
        <w:t>procedimento</w:t>
      </w:r>
      <w:r>
        <w:t xml:space="preserve">. Posteriormente, esses requisitos serão incorporados às </w:t>
      </w:r>
      <w:r w:rsidR="00D0169A">
        <w:rPr>
          <w:i/>
        </w:rPr>
        <w:t xml:space="preserve">Avaliações </w:t>
      </w:r>
      <w:r>
        <w:rPr>
          <w:i/>
        </w:rPr>
        <w:t>de manejo florestal FSC-STD</w:t>
      </w:r>
      <w:r w:rsidR="00D0169A">
        <w:rPr>
          <w:i/>
        </w:rPr>
        <w:t>-</w:t>
      </w:r>
      <w:r>
        <w:rPr>
          <w:i/>
        </w:rPr>
        <w:t>20-007</w:t>
      </w:r>
      <w:r>
        <w:t>.</w:t>
      </w:r>
    </w:p>
    <w:p w14:paraId="76421FC5" w14:textId="4ADF1C6E" w:rsidR="00F37DA1" w:rsidRDefault="004E7609">
      <w:pPr>
        <w:pStyle w:val="P68B1DB1-Normal6"/>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pPr>
      <w:r>
        <w:t xml:space="preserve">Qualquer parte do processo para obter a certificação de manejo florestal FSC que não seja explicitamente mencionada neste </w:t>
      </w:r>
      <w:r w:rsidR="00D0169A">
        <w:t xml:space="preserve">procedimento </w:t>
      </w:r>
      <w:r>
        <w:t>seguirá o processo regular para a certificação de manejo florestal FSC.</w:t>
      </w:r>
    </w:p>
    <w:p w14:paraId="2EF4EB75" w14:textId="623B098A" w:rsidR="00F37DA1" w:rsidRDefault="004E7609">
      <w:pPr>
        <w:pStyle w:val="Ttulo1"/>
      </w:pPr>
      <w:bookmarkStart w:id="20" w:name="_Toc72869556"/>
      <w:bookmarkStart w:id="21" w:name="_Toc72869581"/>
      <w:bookmarkStart w:id="22" w:name="_Toc72869616"/>
      <w:bookmarkStart w:id="23" w:name="_Toc72870290"/>
      <w:bookmarkStart w:id="24" w:name="_Toc72870332"/>
      <w:bookmarkStart w:id="25" w:name="_Toc72870364"/>
      <w:bookmarkStart w:id="26" w:name="_Toc72870396"/>
      <w:bookmarkStart w:id="27" w:name="_Toc72872282"/>
      <w:bookmarkStart w:id="28" w:name="_Toc72872326"/>
      <w:bookmarkStart w:id="29" w:name="_Toc72869557"/>
      <w:bookmarkStart w:id="30" w:name="_Toc72869582"/>
      <w:bookmarkStart w:id="31" w:name="_Toc72869617"/>
      <w:bookmarkStart w:id="32" w:name="_Toc72870291"/>
      <w:bookmarkStart w:id="33" w:name="_Toc72870333"/>
      <w:bookmarkStart w:id="34" w:name="_Toc72870365"/>
      <w:bookmarkStart w:id="35" w:name="_Toc72870397"/>
      <w:bookmarkStart w:id="36" w:name="_Toc72872283"/>
      <w:bookmarkStart w:id="37" w:name="_Toc72872327"/>
      <w:bookmarkStart w:id="38" w:name="_Toc72869558"/>
      <w:bookmarkStart w:id="39" w:name="_Toc72869583"/>
      <w:bookmarkStart w:id="40" w:name="_Toc72869618"/>
      <w:bookmarkStart w:id="41" w:name="_Toc72870292"/>
      <w:bookmarkStart w:id="42" w:name="_Toc72870334"/>
      <w:bookmarkStart w:id="43" w:name="_Toc72870366"/>
      <w:bookmarkStart w:id="44" w:name="_Toc72870398"/>
      <w:bookmarkStart w:id="45" w:name="_Toc72872284"/>
      <w:bookmarkStart w:id="46" w:name="_Toc72872328"/>
      <w:bookmarkStart w:id="47" w:name="_Toc67668852"/>
      <w:bookmarkStart w:id="48" w:name="_Toc74945876"/>
      <w:bookmarkStart w:id="49" w:name="_Toc7673652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PARTE I Requisitos para usuários de Processos de Melhoria Contínua</w:t>
      </w:r>
      <w:bookmarkEnd w:id="48"/>
      <w:bookmarkEnd w:id="49"/>
    </w:p>
    <w:p w14:paraId="7996FE9C" w14:textId="31654998" w:rsidR="00F37DA1" w:rsidRDefault="004E7609">
      <w:pPr>
        <w:pStyle w:val="Ttulo2"/>
        <w:numPr>
          <w:ilvl w:val="0"/>
          <w:numId w:val="2"/>
        </w:numPr>
        <w:ind w:left="426" w:hanging="426"/>
      </w:pPr>
      <w:bookmarkStart w:id="50" w:name="_Toc74945877"/>
      <w:bookmarkStart w:id="51" w:name="_Toc76736526"/>
      <w:r>
        <w:t>Autoavaliação inicial</w:t>
      </w:r>
      <w:bookmarkEnd w:id="50"/>
      <w:bookmarkEnd w:id="51"/>
    </w:p>
    <w:p w14:paraId="60EA3D16" w14:textId="6C5292BB" w:rsidR="00F37DA1" w:rsidRDefault="004E7609">
      <w:pPr>
        <w:pStyle w:val="Indicator"/>
        <w:ind w:left="993" w:hanging="567"/>
      </w:pPr>
      <w:r>
        <w:t>O usuário do PMC deve</w:t>
      </w:r>
      <w:r w:rsidR="00D0169A">
        <w:t>ria</w:t>
      </w:r>
      <w:r>
        <w:t xml:space="preserve"> realizar uma autoavaliação para analisar sua situação inicial (linha de base) e nível de conformidade com os critérios da norma FSC aplicável.</w:t>
      </w:r>
    </w:p>
    <w:p w14:paraId="48A9AF71" w14:textId="264BB474" w:rsidR="00F37DA1" w:rsidRDefault="004E7609">
      <w:pPr>
        <w:pStyle w:val="P68B1DB1-Normal13"/>
        <w:autoSpaceDE w:val="0"/>
        <w:autoSpaceDN w:val="0"/>
        <w:adjustRightInd w:val="0"/>
        <w:spacing w:before="120" w:after="120"/>
        <w:ind w:left="993"/>
        <w:jc w:val="both"/>
        <w:rPr>
          <w:rFonts w:ascii="Arial" w:hAnsi="Arial" w:cs="Arial"/>
        </w:rPr>
      </w:pPr>
      <w:r>
        <w:rPr>
          <w:rFonts w:ascii="Arial Black" w:hAnsi="Arial Black" w:cs="Arial"/>
          <w:b/>
          <w:color w:val="285C4D"/>
        </w:rPr>
        <w:t>NOTA:</w:t>
      </w:r>
      <w:r>
        <w:rPr>
          <w:rFonts w:ascii="Arial" w:hAnsi="Arial" w:cs="Arial"/>
          <w:color w:val="285C4D"/>
        </w:rPr>
        <w:t xml:space="preserve"> </w:t>
      </w:r>
      <w:r>
        <w:rPr>
          <w:rFonts w:ascii="Arial" w:hAnsi="Arial" w:cs="Arial"/>
        </w:rPr>
        <w:t>Embora voluntária, é altamente recomendável a implementação de uma autoavaliação inicial, uma vez que pode servir de treinamento, fornecer valor educacional, capacitação e apropriação do processo pelo usuário do PMC.</w:t>
      </w:r>
    </w:p>
    <w:p w14:paraId="0C6E1EE3" w14:textId="314488E0" w:rsidR="00F37DA1" w:rsidRDefault="004E7609">
      <w:pPr>
        <w:pStyle w:val="Indicator"/>
        <w:ind w:left="993" w:hanging="567"/>
      </w:pPr>
      <w:r>
        <w:t>A autoavaliação inicial pode ser realizada seguindo o modelo fornecido no Anexo 1, ou o usuário do PMC também pode usar qualquer outro modelo ou ferramenta.</w:t>
      </w:r>
    </w:p>
    <w:p w14:paraId="261689C2" w14:textId="7F8D4B1E" w:rsidR="00F37DA1" w:rsidRDefault="004E7609">
      <w:pPr>
        <w:pStyle w:val="Indicator"/>
        <w:ind w:left="993" w:hanging="567"/>
      </w:pPr>
      <w:r>
        <w:t xml:space="preserve">Se o usuário do PMC realizar uma autoavaliação inicial, os resultados </w:t>
      </w:r>
      <w:r w:rsidR="00401090">
        <w:t xml:space="preserve">devem </w:t>
      </w:r>
      <w:r>
        <w:t xml:space="preserve">ser enviados ao </w:t>
      </w:r>
      <w:r w:rsidR="00401090">
        <w:t xml:space="preserve">OC </w:t>
      </w:r>
      <w:r>
        <w:t>pelo menos trinta (30) dias antes da avaliação principal.</w:t>
      </w:r>
    </w:p>
    <w:p w14:paraId="14763B37" w14:textId="7297567A" w:rsidR="00F37DA1" w:rsidRDefault="004E7609">
      <w:pPr>
        <w:pStyle w:val="Ttulo2"/>
        <w:numPr>
          <w:ilvl w:val="0"/>
          <w:numId w:val="2"/>
        </w:numPr>
        <w:ind w:left="426" w:hanging="426"/>
      </w:pPr>
      <w:bookmarkStart w:id="52" w:name="_Toc74945878"/>
      <w:bookmarkStart w:id="53" w:name="_Toc76736527"/>
      <w:r>
        <w:t>Desenvolvimento do Plano de Ação</w:t>
      </w:r>
      <w:bookmarkEnd w:id="52"/>
      <w:bookmarkEnd w:id="53"/>
    </w:p>
    <w:p w14:paraId="17201E23" w14:textId="35AF5396" w:rsidR="00F37DA1" w:rsidRDefault="004E7609">
      <w:pPr>
        <w:pStyle w:val="Indicator"/>
        <w:ind w:left="993" w:hanging="567"/>
      </w:pPr>
      <w:r>
        <w:t>O usuário do PMC deve desenvolver um Plano de Ação levando em consideração a classificação dos Critérios conforme prescrito na Tabela 1.</w:t>
      </w:r>
    </w:p>
    <w:p w14:paraId="0969F1FF" w14:textId="1889DF08" w:rsidR="00F37DA1" w:rsidRDefault="004E7609">
      <w:pPr>
        <w:pStyle w:val="P68B1DB1-Prrafodelista11"/>
        <w:spacing w:before="120" w:after="120"/>
        <w:ind w:left="993"/>
        <w:rPr>
          <w:rFonts w:eastAsia="Times New Roman"/>
          <w:b/>
          <w:color w:val="000000"/>
          <w:sz w:val="20"/>
        </w:rPr>
      </w:pPr>
      <w:r>
        <w:rPr>
          <w:b/>
        </w:rPr>
        <w:t>Tabela 1</w:t>
      </w:r>
      <w:r>
        <w:t>: Categorização de critérios dos P&amp;C do FSC V5 (</w:t>
      </w:r>
      <w:r>
        <w:rPr>
          <w:i/>
        </w:rPr>
        <w:t xml:space="preserve">FSC-STD-01-001 V5-2) </w:t>
      </w:r>
    </w:p>
    <w:tbl>
      <w:tblPr>
        <w:tblW w:w="8991" w:type="dxa"/>
        <w:tblInd w:w="912" w:type="dxa"/>
        <w:tblLook w:val="04A0" w:firstRow="1" w:lastRow="0" w:firstColumn="1" w:lastColumn="0" w:noHBand="0" w:noVBand="1"/>
      </w:tblPr>
      <w:tblGrid>
        <w:gridCol w:w="1205"/>
        <w:gridCol w:w="2072"/>
        <w:gridCol w:w="2832"/>
        <w:gridCol w:w="2882"/>
      </w:tblGrid>
      <w:tr w:rsidR="00F37DA1" w14:paraId="0EE65305" w14:textId="77777777" w:rsidTr="00DB3C6B">
        <w:trPr>
          <w:trHeight w:val="220"/>
        </w:trPr>
        <w:tc>
          <w:tcPr>
            <w:tcW w:w="1205" w:type="dxa"/>
            <w:tcBorders>
              <w:top w:val="single" w:sz="8" w:space="0" w:color="FFFFFF"/>
              <w:left w:val="single" w:sz="8" w:space="0" w:color="FFFFFF"/>
              <w:bottom w:val="single" w:sz="8" w:space="0" w:color="FFFFFF"/>
              <w:right w:val="nil"/>
            </w:tcBorders>
            <w:shd w:val="clear" w:color="000000" w:fill="9BBB59"/>
            <w:noWrap/>
            <w:vAlign w:val="center"/>
            <w:hideMark/>
          </w:tcPr>
          <w:p w14:paraId="70B2C297" w14:textId="77777777" w:rsidR="00F37DA1" w:rsidRDefault="004E7609">
            <w:pPr>
              <w:pStyle w:val="P68B1DB1-Normal23"/>
              <w:jc w:val="center"/>
            </w:pPr>
            <w:r>
              <w:lastRenderedPageBreak/>
              <w:t>Princípio</w:t>
            </w:r>
          </w:p>
        </w:tc>
        <w:tc>
          <w:tcPr>
            <w:tcW w:w="2072" w:type="dxa"/>
            <w:tcBorders>
              <w:top w:val="single" w:sz="8" w:space="0" w:color="FFFFFF"/>
              <w:left w:val="nil"/>
              <w:bottom w:val="single" w:sz="8" w:space="0" w:color="FFFFFF"/>
              <w:right w:val="nil"/>
            </w:tcBorders>
            <w:shd w:val="clear" w:color="000000" w:fill="D99594"/>
            <w:vAlign w:val="center"/>
            <w:hideMark/>
          </w:tcPr>
          <w:p w14:paraId="30B72202" w14:textId="6A87BA6D" w:rsidR="00F37DA1" w:rsidRDefault="004E7609">
            <w:pPr>
              <w:pStyle w:val="P68B1DB1-Normal24"/>
              <w:jc w:val="center"/>
            </w:pPr>
            <w:r>
              <w:t xml:space="preserve">Critérios </w:t>
            </w:r>
            <w:r w:rsidR="00401090">
              <w:t>Centrais</w:t>
            </w:r>
          </w:p>
          <w:p w14:paraId="14DFFCCA" w14:textId="7407E39A" w:rsidR="00F37DA1" w:rsidRDefault="004E7609">
            <w:pPr>
              <w:pStyle w:val="P68B1DB1-Normal24"/>
              <w:jc w:val="center"/>
            </w:pPr>
            <w:r>
              <w:t>(</w:t>
            </w:r>
            <w:r w:rsidR="00401090">
              <w:t>CC</w:t>
            </w:r>
            <w:r>
              <w:t>)</w:t>
            </w:r>
          </w:p>
        </w:tc>
        <w:tc>
          <w:tcPr>
            <w:tcW w:w="2832" w:type="dxa"/>
            <w:tcBorders>
              <w:top w:val="single" w:sz="8" w:space="0" w:color="FFFFFF"/>
              <w:left w:val="nil"/>
              <w:bottom w:val="single" w:sz="8" w:space="0" w:color="FFFFFF"/>
              <w:right w:val="nil"/>
            </w:tcBorders>
            <w:shd w:val="clear" w:color="000000" w:fill="E36C0A"/>
            <w:vAlign w:val="center"/>
            <w:hideMark/>
          </w:tcPr>
          <w:p w14:paraId="3140B114" w14:textId="77777777" w:rsidR="00F37DA1" w:rsidRDefault="004E7609">
            <w:pPr>
              <w:pStyle w:val="P68B1DB1-Normal24"/>
              <w:jc w:val="center"/>
            </w:pPr>
            <w:r>
              <w:t xml:space="preserve">Critérios Camaleão </w:t>
            </w:r>
          </w:p>
          <w:p w14:paraId="6FF19471" w14:textId="7CA06B48" w:rsidR="00F37DA1" w:rsidRDefault="004E7609">
            <w:pPr>
              <w:pStyle w:val="P68B1DB1-Normal24"/>
              <w:jc w:val="center"/>
            </w:pPr>
            <w:r>
              <w:t>(CCA)</w:t>
            </w:r>
          </w:p>
        </w:tc>
        <w:tc>
          <w:tcPr>
            <w:tcW w:w="2882" w:type="dxa"/>
            <w:tcBorders>
              <w:top w:val="single" w:sz="8" w:space="0" w:color="FFFFFF"/>
              <w:left w:val="nil"/>
              <w:bottom w:val="single" w:sz="8" w:space="0" w:color="FFFFFF"/>
              <w:right w:val="single" w:sz="8" w:space="0" w:color="FFFFFF"/>
            </w:tcBorders>
            <w:shd w:val="clear" w:color="000000" w:fill="9BBB59"/>
            <w:vAlign w:val="center"/>
            <w:hideMark/>
          </w:tcPr>
          <w:p w14:paraId="44A0CC97" w14:textId="63A368A2" w:rsidR="00F37DA1" w:rsidRDefault="004E7609">
            <w:pPr>
              <w:pStyle w:val="P68B1DB1-Normal24"/>
              <w:jc w:val="center"/>
            </w:pPr>
            <w:r>
              <w:t>Critérios de Melhoria Contínua</w:t>
            </w:r>
          </w:p>
          <w:p w14:paraId="21D8A2B2" w14:textId="19D612ED" w:rsidR="00F37DA1" w:rsidRDefault="004E7609">
            <w:pPr>
              <w:pStyle w:val="P68B1DB1-Normal24"/>
              <w:jc w:val="center"/>
            </w:pPr>
            <w:r>
              <w:t>(CMC)</w:t>
            </w:r>
          </w:p>
        </w:tc>
      </w:tr>
      <w:tr w:rsidR="00F37DA1" w14:paraId="4848FD4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350B9DD1" w14:textId="77777777" w:rsidR="00F37DA1" w:rsidRDefault="004E7609">
            <w:pPr>
              <w:pStyle w:val="P68B1DB1-Normal25"/>
              <w:jc w:val="center"/>
            </w:pPr>
            <w:r>
              <w:t>1</w:t>
            </w:r>
          </w:p>
        </w:tc>
        <w:tc>
          <w:tcPr>
            <w:tcW w:w="2072" w:type="dxa"/>
            <w:tcBorders>
              <w:top w:val="nil"/>
              <w:left w:val="nil"/>
              <w:bottom w:val="single" w:sz="8" w:space="0" w:color="FFFFFF"/>
              <w:right w:val="single" w:sz="8" w:space="0" w:color="FFFFFF"/>
            </w:tcBorders>
            <w:shd w:val="clear" w:color="000000" w:fill="E5B8B7"/>
            <w:noWrap/>
            <w:vAlign w:val="center"/>
            <w:hideMark/>
          </w:tcPr>
          <w:p w14:paraId="19B21AD8" w14:textId="77777777" w:rsidR="00F37DA1" w:rsidRDefault="004E7609">
            <w:pPr>
              <w:pStyle w:val="P68B1DB1-Normal25"/>
              <w:jc w:val="center"/>
            </w:pPr>
            <w:r>
              <w:t>2, 3, 5, 6, 7, 8</w:t>
            </w:r>
          </w:p>
        </w:tc>
        <w:tc>
          <w:tcPr>
            <w:tcW w:w="2832" w:type="dxa"/>
            <w:tcBorders>
              <w:top w:val="nil"/>
              <w:left w:val="nil"/>
              <w:bottom w:val="single" w:sz="8" w:space="0" w:color="FFFFFF"/>
              <w:right w:val="single" w:sz="8" w:space="0" w:color="FFFFFF"/>
            </w:tcBorders>
            <w:shd w:val="clear" w:color="000000" w:fill="FBD4B4"/>
            <w:noWrap/>
            <w:hideMark/>
          </w:tcPr>
          <w:p w14:paraId="60BC819F"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D6E3BC"/>
            <w:noWrap/>
            <w:vAlign w:val="center"/>
            <w:hideMark/>
          </w:tcPr>
          <w:p w14:paraId="3AC59098" w14:textId="77777777" w:rsidR="00F37DA1" w:rsidRDefault="004E7609">
            <w:pPr>
              <w:pStyle w:val="P68B1DB1-Normal25"/>
              <w:jc w:val="center"/>
            </w:pPr>
            <w:r>
              <w:t>1, 4</w:t>
            </w:r>
          </w:p>
        </w:tc>
      </w:tr>
      <w:tr w:rsidR="00F37DA1" w14:paraId="1A38BDA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3329290B" w14:textId="77777777" w:rsidR="00F37DA1" w:rsidRDefault="004E7609">
            <w:pPr>
              <w:pStyle w:val="P68B1DB1-Normal25"/>
              <w:jc w:val="center"/>
            </w:pPr>
            <w:r>
              <w:t>2</w:t>
            </w:r>
          </w:p>
        </w:tc>
        <w:tc>
          <w:tcPr>
            <w:tcW w:w="2072" w:type="dxa"/>
            <w:tcBorders>
              <w:top w:val="nil"/>
              <w:left w:val="nil"/>
              <w:bottom w:val="single" w:sz="8" w:space="0" w:color="FFFFFF"/>
              <w:right w:val="single" w:sz="8" w:space="0" w:color="FFFFFF"/>
            </w:tcBorders>
            <w:shd w:val="clear" w:color="000000" w:fill="F2DBDB"/>
            <w:noWrap/>
            <w:vAlign w:val="center"/>
            <w:hideMark/>
          </w:tcPr>
          <w:p w14:paraId="4D1850D4" w14:textId="77777777" w:rsidR="00F37DA1" w:rsidRDefault="004E7609">
            <w:pPr>
              <w:pStyle w:val="P68B1DB1-Normal25"/>
              <w:jc w:val="center"/>
            </w:pPr>
            <w:r>
              <w:t>1, 4, 6</w:t>
            </w:r>
          </w:p>
        </w:tc>
        <w:tc>
          <w:tcPr>
            <w:tcW w:w="2832" w:type="dxa"/>
            <w:tcBorders>
              <w:top w:val="nil"/>
              <w:left w:val="nil"/>
              <w:bottom w:val="single" w:sz="8" w:space="0" w:color="FFFFFF"/>
              <w:right w:val="single" w:sz="8" w:space="0" w:color="FFFFFF"/>
            </w:tcBorders>
            <w:shd w:val="clear" w:color="000000" w:fill="FDE9D9"/>
            <w:noWrap/>
            <w:vAlign w:val="center"/>
            <w:hideMark/>
          </w:tcPr>
          <w:p w14:paraId="38E1B9F2" w14:textId="77777777" w:rsidR="00F37DA1" w:rsidRDefault="004E7609">
            <w:pPr>
              <w:pStyle w:val="P68B1DB1-Normal25"/>
              <w:jc w:val="center"/>
            </w:pPr>
            <w:r>
              <w:t>3, 5</w:t>
            </w:r>
          </w:p>
        </w:tc>
        <w:tc>
          <w:tcPr>
            <w:tcW w:w="2882" w:type="dxa"/>
            <w:tcBorders>
              <w:top w:val="nil"/>
              <w:left w:val="nil"/>
              <w:bottom w:val="single" w:sz="8" w:space="0" w:color="FFFFFF"/>
              <w:right w:val="single" w:sz="8" w:space="0" w:color="FFFFFF"/>
            </w:tcBorders>
            <w:shd w:val="clear" w:color="000000" w:fill="EAF1DD"/>
            <w:noWrap/>
            <w:vAlign w:val="center"/>
            <w:hideMark/>
          </w:tcPr>
          <w:p w14:paraId="46A74617" w14:textId="77777777" w:rsidR="00F37DA1" w:rsidRDefault="004E7609">
            <w:pPr>
              <w:pStyle w:val="P68B1DB1-Normal25"/>
              <w:jc w:val="center"/>
            </w:pPr>
            <w:r>
              <w:t>2</w:t>
            </w:r>
          </w:p>
        </w:tc>
      </w:tr>
      <w:tr w:rsidR="00F37DA1" w14:paraId="0EF912FE"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0DD01BE4" w14:textId="77777777" w:rsidR="00F37DA1" w:rsidRDefault="004E7609">
            <w:pPr>
              <w:pStyle w:val="P68B1DB1-Normal25"/>
              <w:jc w:val="center"/>
            </w:pPr>
            <w:r>
              <w:t>3</w:t>
            </w:r>
          </w:p>
        </w:tc>
        <w:tc>
          <w:tcPr>
            <w:tcW w:w="2072" w:type="dxa"/>
            <w:tcBorders>
              <w:top w:val="nil"/>
              <w:left w:val="nil"/>
              <w:bottom w:val="single" w:sz="8" w:space="0" w:color="FFFFFF"/>
              <w:right w:val="single" w:sz="8" w:space="0" w:color="FFFFFF"/>
            </w:tcBorders>
            <w:shd w:val="clear" w:color="000000" w:fill="E5B8B7"/>
            <w:noWrap/>
            <w:vAlign w:val="center"/>
            <w:hideMark/>
          </w:tcPr>
          <w:p w14:paraId="03CAAF1B" w14:textId="77777777" w:rsidR="00F37DA1" w:rsidRDefault="004E7609">
            <w:pPr>
              <w:pStyle w:val="P68B1DB1-Normal25"/>
              <w:jc w:val="center"/>
            </w:pPr>
            <w:r>
              <w:t>1, 2, 3, 4</w:t>
            </w:r>
          </w:p>
        </w:tc>
        <w:tc>
          <w:tcPr>
            <w:tcW w:w="2832" w:type="dxa"/>
            <w:tcBorders>
              <w:top w:val="nil"/>
              <w:left w:val="nil"/>
              <w:bottom w:val="single" w:sz="8" w:space="0" w:color="FFFFFF"/>
              <w:right w:val="single" w:sz="8" w:space="0" w:color="FFFFFF"/>
            </w:tcBorders>
            <w:shd w:val="clear" w:color="000000" w:fill="FBD4B4"/>
            <w:noWrap/>
            <w:hideMark/>
          </w:tcPr>
          <w:p w14:paraId="11AC57E8"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D6E3BC"/>
            <w:noWrap/>
            <w:vAlign w:val="center"/>
            <w:hideMark/>
          </w:tcPr>
          <w:p w14:paraId="1BB5227F" w14:textId="77777777" w:rsidR="00F37DA1" w:rsidRDefault="004E7609">
            <w:pPr>
              <w:pStyle w:val="P68B1DB1-Normal25"/>
              <w:jc w:val="center"/>
            </w:pPr>
            <w:r>
              <w:t>5, 6</w:t>
            </w:r>
          </w:p>
        </w:tc>
      </w:tr>
      <w:tr w:rsidR="00F37DA1" w14:paraId="4D8F1DA0"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045A5E3D" w14:textId="77777777" w:rsidR="00F37DA1" w:rsidRDefault="004E7609">
            <w:pPr>
              <w:pStyle w:val="P68B1DB1-Normal25"/>
              <w:jc w:val="center"/>
            </w:pPr>
            <w:r>
              <w:t>4</w:t>
            </w:r>
          </w:p>
        </w:tc>
        <w:tc>
          <w:tcPr>
            <w:tcW w:w="2072" w:type="dxa"/>
            <w:tcBorders>
              <w:top w:val="nil"/>
              <w:left w:val="nil"/>
              <w:bottom w:val="single" w:sz="8" w:space="0" w:color="FFFFFF"/>
              <w:right w:val="single" w:sz="8" w:space="0" w:color="FFFFFF"/>
            </w:tcBorders>
            <w:shd w:val="clear" w:color="000000" w:fill="F2DBDB"/>
            <w:noWrap/>
            <w:vAlign w:val="center"/>
            <w:hideMark/>
          </w:tcPr>
          <w:p w14:paraId="19DDF3F9" w14:textId="77777777" w:rsidR="00F37DA1" w:rsidRDefault="004E7609">
            <w:pPr>
              <w:pStyle w:val="P68B1DB1-Normal25"/>
              <w:jc w:val="center"/>
            </w:pPr>
            <w:r>
              <w:t>1, 2, 6</w:t>
            </w:r>
          </w:p>
        </w:tc>
        <w:tc>
          <w:tcPr>
            <w:tcW w:w="2832" w:type="dxa"/>
            <w:tcBorders>
              <w:top w:val="nil"/>
              <w:left w:val="nil"/>
              <w:bottom w:val="single" w:sz="8" w:space="0" w:color="FFFFFF"/>
              <w:right w:val="single" w:sz="8" w:space="0" w:color="FFFFFF"/>
            </w:tcBorders>
            <w:shd w:val="clear" w:color="000000" w:fill="FDE9D9"/>
            <w:noWrap/>
            <w:hideMark/>
          </w:tcPr>
          <w:p w14:paraId="72E55891"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EAF1DD"/>
            <w:noWrap/>
            <w:vAlign w:val="center"/>
            <w:hideMark/>
          </w:tcPr>
          <w:p w14:paraId="6383ACF5" w14:textId="77777777" w:rsidR="00F37DA1" w:rsidRDefault="004E7609">
            <w:pPr>
              <w:pStyle w:val="P68B1DB1-Normal25"/>
              <w:jc w:val="center"/>
            </w:pPr>
            <w:r>
              <w:t>3, 4, 5, 7, 8</w:t>
            </w:r>
          </w:p>
        </w:tc>
      </w:tr>
      <w:tr w:rsidR="00F37DA1" w14:paraId="2484040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06706F2D" w14:textId="77777777" w:rsidR="00F37DA1" w:rsidRDefault="004E7609">
            <w:pPr>
              <w:pStyle w:val="P68B1DB1-Normal25"/>
              <w:jc w:val="center"/>
            </w:pPr>
            <w:r>
              <w:t>5</w:t>
            </w:r>
          </w:p>
        </w:tc>
        <w:tc>
          <w:tcPr>
            <w:tcW w:w="2072" w:type="dxa"/>
            <w:tcBorders>
              <w:top w:val="nil"/>
              <w:left w:val="nil"/>
              <w:bottom w:val="single" w:sz="8" w:space="0" w:color="FFFFFF"/>
              <w:right w:val="single" w:sz="8" w:space="0" w:color="FFFFFF"/>
            </w:tcBorders>
            <w:shd w:val="clear" w:color="000000" w:fill="E5B8B7"/>
            <w:noWrap/>
            <w:hideMark/>
          </w:tcPr>
          <w:p w14:paraId="2265C1FA" w14:textId="77777777" w:rsidR="00F37DA1" w:rsidRDefault="004E7609">
            <w:pPr>
              <w:pStyle w:val="P68B1DB1-Normal26"/>
            </w:pPr>
            <w:r>
              <w:t> </w:t>
            </w:r>
          </w:p>
        </w:tc>
        <w:tc>
          <w:tcPr>
            <w:tcW w:w="2832" w:type="dxa"/>
            <w:tcBorders>
              <w:top w:val="nil"/>
              <w:left w:val="nil"/>
              <w:bottom w:val="single" w:sz="8" w:space="0" w:color="FFFFFF"/>
              <w:right w:val="single" w:sz="8" w:space="0" w:color="FFFFFF"/>
            </w:tcBorders>
            <w:shd w:val="clear" w:color="000000" w:fill="FBD4B4"/>
            <w:noWrap/>
            <w:vAlign w:val="center"/>
            <w:hideMark/>
          </w:tcPr>
          <w:p w14:paraId="34CF693D" w14:textId="77777777" w:rsidR="00F37DA1" w:rsidRDefault="004E7609">
            <w:pPr>
              <w:pStyle w:val="P68B1DB1-Normal25"/>
              <w:jc w:val="center"/>
            </w:pPr>
            <w:r>
              <w:t>2</w:t>
            </w:r>
          </w:p>
        </w:tc>
        <w:tc>
          <w:tcPr>
            <w:tcW w:w="2882" w:type="dxa"/>
            <w:tcBorders>
              <w:top w:val="nil"/>
              <w:left w:val="nil"/>
              <w:bottom w:val="single" w:sz="8" w:space="0" w:color="FFFFFF"/>
              <w:right w:val="single" w:sz="8" w:space="0" w:color="FFFFFF"/>
            </w:tcBorders>
            <w:shd w:val="clear" w:color="000000" w:fill="D6E3BC"/>
            <w:noWrap/>
            <w:vAlign w:val="center"/>
            <w:hideMark/>
          </w:tcPr>
          <w:p w14:paraId="140525B3" w14:textId="77777777" w:rsidR="00F37DA1" w:rsidRDefault="004E7609">
            <w:pPr>
              <w:pStyle w:val="P68B1DB1-Normal25"/>
              <w:jc w:val="center"/>
            </w:pPr>
            <w:r>
              <w:t>1, 3, 4, 5</w:t>
            </w:r>
          </w:p>
        </w:tc>
      </w:tr>
      <w:tr w:rsidR="00F37DA1" w14:paraId="4AAE78CE"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779AEBEF" w14:textId="77777777" w:rsidR="00F37DA1" w:rsidRDefault="004E7609">
            <w:pPr>
              <w:pStyle w:val="P68B1DB1-Normal25"/>
              <w:jc w:val="center"/>
            </w:pPr>
            <w:r>
              <w:t>6</w:t>
            </w:r>
          </w:p>
        </w:tc>
        <w:tc>
          <w:tcPr>
            <w:tcW w:w="2072" w:type="dxa"/>
            <w:tcBorders>
              <w:top w:val="nil"/>
              <w:left w:val="nil"/>
              <w:bottom w:val="single" w:sz="8" w:space="0" w:color="FFFFFF"/>
              <w:right w:val="single" w:sz="8" w:space="0" w:color="FFFFFF"/>
            </w:tcBorders>
            <w:shd w:val="clear" w:color="000000" w:fill="F2DBDB"/>
            <w:noWrap/>
            <w:vAlign w:val="center"/>
            <w:hideMark/>
          </w:tcPr>
          <w:p w14:paraId="0D5A31E7" w14:textId="77777777" w:rsidR="00F37DA1" w:rsidRDefault="004E7609">
            <w:pPr>
              <w:pStyle w:val="P68B1DB1-Normal25"/>
              <w:jc w:val="center"/>
            </w:pPr>
            <w:r>
              <w:t>1, 4, 7, 9, 10</w:t>
            </w:r>
          </w:p>
        </w:tc>
        <w:tc>
          <w:tcPr>
            <w:tcW w:w="2832" w:type="dxa"/>
            <w:tcBorders>
              <w:top w:val="nil"/>
              <w:left w:val="nil"/>
              <w:bottom w:val="single" w:sz="8" w:space="0" w:color="FFFFFF"/>
              <w:right w:val="single" w:sz="8" w:space="0" w:color="FFFFFF"/>
            </w:tcBorders>
            <w:shd w:val="clear" w:color="000000" w:fill="FDE9D9"/>
            <w:noWrap/>
            <w:vAlign w:val="center"/>
            <w:hideMark/>
          </w:tcPr>
          <w:p w14:paraId="58392AFB" w14:textId="77777777" w:rsidR="00F37DA1" w:rsidRDefault="004E7609">
            <w:pPr>
              <w:pStyle w:val="P68B1DB1-Normal25"/>
              <w:jc w:val="center"/>
            </w:pPr>
            <w:r>
              <w:t>2, 3, 5</w:t>
            </w:r>
          </w:p>
        </w:tc>
        <w:tc>
          <w:tcPr>
            <w:tcW w:w="2882" w:type="dxa"/>
            <w:tcBorders>
              <w:top w:val="nil"/>
              <w:left w:val="nil"/>
              <w:bottom w:val="single" w:sz="8" w:space="0" w:color="FFFFFF"/>
              <w:right w:val="single" w:sz="8" w:space="0" w:color="FFFFFF"/>
            </w:tcBorders>
            <w:shd w:val="clear" w:color="000000" w:fill="EAF1DD"/>
            <w:noWrap/>
            <w:vAlign w:val="center"/>
            <w:hideMark/>
          </w:tcPr>
          <w:p w14:paraId="2432C4A3" w14:textId="77777777" w:rsidR="00F37DA1" w:rsidRDefault="004E7609">
            <w:pPr>
              <w:pStyle w:val="P68B1DB1-Normal25"/>
              <w:jc w:val="center"/>
            </w:pPr>
            <w:r>
              <w:t>6, 8</w:t>
            </w:r>
          </w:p>
        </w:tc>
      </w:tr>
      <w:tr w:rsidR="00F37DA1" w14:paraId="58D01183"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225D5DA4" w14:textId="77777777" w:rsidR="00F37DA1" w:rsidRDefault="004E7609">
            <w:pPr>
              <w:pStyle w:val="P68B1DB1-Normal25"/>
              <w:jc w:val="center"/>
            </w:pPr>
            <w:r>
              <w:t>7</w:t>
            </w:r>
          </w:p>
        </w:tc>
        <w:tc>
          <w:tcPr>
            <w:tcW w:w="2072" w:type="dxa"/>
            <w:tcBorders>
              <w:top w:val="nil"/>
              <w:left w:val="nil"/>
              <w:bottom w:val="single" w:sz="8" w:space="0" w:color="FFFFFF"/>
              <w:right w:val="single" w:sz="8" w:space="0" w:color="FFFFFF"/>
            </w:tcBorders>
            <w:shd w:val="clear" w:color="000000" w:fill="E5B8B7"/>
            <w:noWrap/>
            <w:vAlign w:val="center"/>
            <w:hideMark/>
          </w:tcPr>
          <w:p w14:paraId="72DE1825" w14:textId="77777777" w:rsidR="00F37DA1" w:rsidRDefault="004E7609">
            <w:pPr>
              <w:pStyle w:val="P68B1DB1-Normal25"/>
              <w:jc w:val="center"/>
            </w:pPr>
            <w:r>
              <w:t>1</w:t>
            </w:r>
          </w:p>
        </w:tc>
        <w:tc>
          <w:tcPr>
            <w:tcW w:w="2832" w:type="dxa"/>
            <w:tcBorders>
              <w:top w:val="nil"/>
              <w:left w:val="nil"/>
              <w:bottom w:val="single" w:sz="8" w:space="0" w:color="FFFFFF"/>
              <w:right w:val="single" w:sz="8" w:space="0" w:color="FFFFFF"/>
            </w:tcBorders>
            <w:shd w:val="clear" w:color="000000" w:fill="FBD4B4"/>
            <w:noWrap/>
            <w:hideMark/>
          </w:tcPr>
          <w:p w14:paraId="4D512CCA" w14:textId="77777777" w:rsidR="00F37DA1" w:rsidRDefault="004E7609">
            <w:pPr>
              <w:pStyle w:val="P68B1DB1-Normal26"/>
              <w:jc w:val="center"/>
            </w:pPr>
            <w:r>
              <w:t>2</w:t>
            </w:r>
          </w:p>
        </w:tc>
        <w:tc>
          <w:tcPr>
            <w:tcW w:w="2882" w:type="dxa"/>
            <w:tcBorders>
              <w:top w:val="nil"/>
              <w:left w:val="nil"/>
              <w:bottom w:val="single" w:sz="8" w:space="0" w:color="FFFFFF"/>
              <w:right w:val="single" w:sz="8" w:space="0" w:color="FFFFFF"/>
            </w:tcBorders>
            <w:shd w:val="clear" w:color="000000" w:fill="D6E3BC"/>
            <w:noWrap/>
            <w:vAlign w:val="center"/>
            <w:hideMark/>
          </w:tcPr>
          <w:p w14:paraId="3E302A35" w14:textId="77777777" w:rsidR="00F37DA1" w:rsidRDefault="004E7609">
            <w:pPr>
              <w:pStyle w:val="P68B1DB1-Normal25"/>
              <w:jc w:val="center"/>
            </w:pPr>
            <w:r>
              <w:t xml:space="preserve"> 3, 4, 5, 6</w:t>
            </w:r>
          </w:p>
        </w:tc>
      </w:tr>
      <w:tr w:rsidR="00F37DA1" w14:paraId="0D771FB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413CBBC3" w14:textId="77777777" w:rsidR="00F37DA1" w:rsidRDefault="004E7609">
            <w:pPr>
              <w:pStyle w:val="P68B1DB1-Normal25"/>
              <w:jc w:val="center"/>
            </w:pPr>
            <w:r>
              <w:t>8</w:t>
            </w:r>
          </w:p>
        </w:tc>
        <w:tc>
          <w:tcPr>
            <w:tcW w:w="2072" w:type="dxa"/>
            <w:tcBorders>
              <w:top w:val="nil"/>
              <w:left w:val="nil"/>
              <w:bottom w:val="single" w:sz="8" w:space="0" w:color="FFFFFF"/>
              <w:right w:val="single" w:sz="8" w:space="0" w:color="FFFFFF"/>
            </w:tcBorders>
            <w:shd w:val="clear" w:color="000000" w:fill="F2DBDB"/>
            <w:noWrap/>
            <w:vAlign w:val="center"/>
            <w:hideMark/>
          </w:tcPr>
          <w:p w14:paraId="51FBF444" w14:textId="77777777" w:rsidR="00F37DA1" w:rsidRDefault="004E7609">
            <w:pPr>
              <w:pStyle w:val="P68B1DB1-Normal25"/>
              <w:jc w:val="center"/>
            </w:pPr>
            <w:r>
              <w:t>5</w:t>
            </w:r>
          </w:p>
        </w:tc>
        <w:tc>
          <w:tcPr>
            <w:tcW w:w="2832" w:type="dxa"/>
            <w:tcBorders>
              <w:top w:val="nil"/>
              <w:left w:val="nil"/>
              <w:bottom w:val="single" w:sz="8" w:space="0" w:color="FFFFFF"/>
              <w:right w:val="single" w:sz="8" w:space="0" w:color="FFFFFF"/>
            </w:tcBorders>
            <w:shd w:val="clear" w:color="000000" w:fill="FDE9D9"/>
            <w:noWrap/>
            <w:hideMark/>
          </w:tcPr>
          <w:p w14:paraId="49D6B908"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EAF1DD"/>
            <w:noWrap/>
            <w:vAlign w:val="center"/>
            <w:hideMark/>
          </w:tcPr>
          <w:p w14:paraId="4D854A10" w14:textId="77777777" w:rsidR="00F37DA1" w:rsidRDefault="004E7609">
            <w:pPr>
              <w:pStyle w:val="P68B1DB1-Normal25"/>
              <w:jc w:val="center"/>
            </w:pPr>
            <w:r>
              <w:t>1, 2, 3, 4</w:t>
            </w:r>
          </w:p>
        </w:tc>
      </w:tr>
      <w:tr w:rsidR="00F37DA1" w14:paraId="3D7BF50B"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2E0818B4" w14:textId="77777777" w:rsidR="00F37DA1" w:rsidRDefault="004E7609">
            <w:pPr>
              <w:pStyle w:val="P68B1DB1-Normal25"/>
              <w:jc w:val="center"/>
            </w:pPr>
            <w:r>
              <w:t>9</w:t>
            </w:r>
          </w:p>
        </w:tc>
        <w:tc>
          <w:tcPr>
            <w:tcW w:w="2072" w:type="dxa"/>
            <w:tcBorders>
              <w:top w:val="nil"/>
              <w:left w:val="nil"/>
              <w:bottom w:val="single" w:sz="8" w:space="0" w:color="FFFFFF"/>
              <w:right w:val="single" w:sz="8" w:space="0" w:color="FFFFFF"/>
            </w:tcBorders>
            <w:shd w:val="clear" w:color="000000" w:fill="E5B8B7"/>
            <w:noWrap/>
            <w:hideMark/>
          </w:tcPr>
          <w:p w14:paraId="07A882D7" w14:textId="77777777" w:rsidR="00F37DA1" w:rsidRDefault="004E7609">
            <w:pPr>
              <w:pStyle w:val="P68B1DB1-Normal26"/>
            </w:pPr>
            <w:r>
              <w:t> </w:t>
            </w:r>
          </w:p>
        </w:tc>
        <w:tc>
          <w:tcPr>
            <w:tcW w:w="2832" w:type="dxa"/>
            <w:tcBorders>
              <w:top w:val="nil"/>
              <w:left w:val="nil"/>
              <w:bottom w:val="single" w:sz="8" w:space="0" w:color="FFFFFF"/>
              <w:right w:val="single" w:sz="8" w:space="0" w:color="FFFFFF"/>
            </w:tcBorders>
            <w:shd w:val="clear" w:color="000000" w:fill="FBD4B4"/>
            <w:noWrap/>
            <w:vAlign w:val="center"/>
            <w:hideMark/>
          </w:tcPr>
          <w:p w14:paraId="66B03697" w14:textId="77777777" w:rsidR="00F37DA1" w:rsidRDefault="004E7609">
            <w:pPr>
              <w:pStyle w:val="P68B1DB1-Normal25"/>
              <w:jc w:val="center"/>
            </w:pPr>
            <w:r>
              <w:t>1</w:t>
            </w:r>
          </w:p>
        </w:tc>
        <w:tc>
          <w:tcPr>
            <w:tcW w:w="2882" w:type="dxa"/>
            <w:tcBorders>
              <w:top w:val="nil"/>
              <w:left w:val="nil"/>
              <w:bottom w:val="single" w:sz="8" w:space="0" w:color="FFFFFF"/>
              <w:right w:val="single" w:sz="8" w:space="0" w:color="FFFFFF"/>
            </w:tcBorders>
            <w:shd w:val="clear" w:color="000000" w:fill="D6E3BC"/>
            <w:noWrap/>
            <w:vAlign w:val="center"/>
            <w:hideMark/>
          </w:tcPr>
          <w:p w14:paraId="112B1972" w14:textId="77777777" w:rsidR="00F37DA1" w:rsidRDefault="004E7609">
            <w:pPr>
              <w:pStyle w:val="P68B1DB1-Normal25"/>
              <w:jc w:val="center"/>
            </w:pPr>
            <w:r>
              <w:t>2, 3, 4</w:t>
            </w:r>
          </w:p>
        </w:tc>
      </w:tr>
      <w:tr w:rsidR="00F37DA1" w14:paraId="5862932C"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57747D8A" w14:textId="77777777" w:rsidR="00F37DA1" w:rsidRDefault="004E7609">
            <w:pPr>
              <w:pStyle w:val="P68B1DB1-Normal25"/>
              <w:jc w:val="center"/>
            </w:pPr>
            <w:r>
              <w:t>10</w:t>
            </w:r>
          </w:p>
        </w:tc>
        <w:tc>
          <w:tcPr>
            <w:tcW w:w="2072" w:type="dxa"/>
            <w:tcBorders>
              <w:top w:val="nil"/>
              <w:left w:val="nil"/>
              <w:bottom w:val="single" w:sz="8" w:space="0" w:color="FFFFFF"/>
              <w:right w:val="single" w:sz="8" w:space="0" w:color="FFFFFF"/>
            </w:tcBorders>
            <w:shd w:val="clear" w:color="000000" w:fill="F2DBDB"/>
            <w:noWrap/>
            <w:vAlign w:val="center"/>
            <w:hideMark/>
          </w:tcPr>
          <w:p w14:paraId="2B00E91B" w14:textId="77777777" w:rsidR="00F37DA1" w:rsidRDefault="004E7609">
            <w:pPr>
              <w:pStyle w:val="P68B1DB1-Normal25"/>
              <w:jc w:val="center"/>
            </w:pPr>
            <w:r>
              <w:t>2, 3, 4, 5, 7, 8</w:t>
            </w:r>
          </w:p>
        </w:tc>
        <w:tc>
          <w:tcPr>
            <w:tcW w:w="2832" w:type="dxa"/>
            <w:tcBorders>
              <w:top w:val="nil"/>
              <w:left w:val="nil"/>
              <w:bottom w:val="single" w:sz="8" w:space="0" w:color="FFFFFF"/>
              <w:right w:val="single" w:sz="8" w:space="0" w:color="FFFFFF"/>
            </w:tcBorders>
            <w:shd w:val="clear" w:color="000000" w:fill="FDE9D9"/>
            <w:noWrap/>
            <w:vAlign w:val="center"/>
            <w:hideMark/>
          </w:tcPr>
          <w:p w14:paraId="5CFB7FB5" w14:textId="77777777" w:rsidR="00F37DA1" w:rsidRDefault="004E7609">
            <w:pPr>
              <w:pStyle w:val="P68B1DB1-Normal25"/>
              <w:jc w:val="center"/>
            </w:pPr>
            <w:r>
              <w:t>1, 10, 11</w:t>
            </w:r>
          </w:p>
        </w:tc>
        <w:tc>
          <w:tcPr>
            <w:tcW w:w="2882" w:type="dxa"/>
            <w:tcBorders>
              <w:top w:val="nil"/>
              <w:left w:val="nil"/>
              <w:bottom w:val="single" w:sz="8" w:space="0" w:color="FFFFFF"/>
              <w:right w:val="single" w:sz="8" w:space="0" w:color="FFFFFF"/>
            </w:tcBorders>
            <w:shd w:val="clear" w:color="000000" w:fill="EAF1DD"/>
            <w:noWrap/>
            <w:vAlign w:val="center"/>
            <w:hideMark/>
          </w:tcPr>
          <w:p w14:paraId="375F26DC" w14:textId="77777777" w:rsidR="00F37DA1" w:rsidRDefault="004E7609">
            <w:pPr>
              <w:pStyle w:val="P68B1DB1-Normal25"/>
              <w:jc w:val="center"/>
            </w:pPr>
            <w:r>
              <w:t>6, 9, 12</w:t>
            </w:r>
          </w:p>
        </w:tc>
      </w:tr>
      <w:tr w:rsidR="00F37DA1" w14:paraId="346B2840"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58B4E33D" w14:textId="77777777" w:rsidR="00F37DA1" w:rsidRDefault="004E7609">
            <w:pPr>
              <w:pStyle w:val="P68B1DB1-Normal23"/>
              <w:jc w:val="center"/>
            </w:pPr>
            <w:r>
              <w:t>TOTAL</w:t>
            </w:r>
          </w:p>
        </w:tc>
        <w:tc>
          <w:tcPr>
            <w:tcW w:w="2072" w:type="dxa"/>
            <w:tcBorders>
              <w:top w:val="nil"/>
              <w:left w:val="nil"/>
              <w:bottom w:val="single" w:sz="8" w:space="0" w:color="FFFFFF"/>
              <w:right w:val="single" w:sz="8" w:space="0" w:color="FFFFFF"/>
            </w:tcBorders>
            <w:shd w:val="clear" w:color="000000" w:fill="E5B8B7"/>
            <w:noWrap/>
            <w:vAlign w:val="center"/>
            <w:hideMark/>
          </w:tcPr>
          <w:p w14:paraId="2E7E7659" w14:textId="77777777" w:rsidR="00F37DA1" w:rsidRDefault="004E7609">
            <w:pPr>
              <w:pStyle w:val="P68B1DB1-Normal23"/>
              <w:jc w:val="center"/>
            </w:pPr>
            <w:r>
              <w:t>29</w:t>
            </w:r>
          </w:p>
        </w:tc>
        <w:tc>
          <w:tcPr>
            <w:tcW w:w="2832" w:type="dxa"/>
            <w:tcBorders>
              <w:top w:val="nil"/>
              <w:left w:val="nil"/>
              <w:bottom w:val="single" w:sz="8" w:space="0" w:color="FFFFFF"/>
              <w:right w:val="single" w:sz="8" w:space="0" w:color="FFFFFF"/>
            </w:tcBorders>
            <w:shd w:val="clear" w:color="000000" w:fill="FBD4B4"/>
            <w:noWrap/>
            <w:vAlign w:val="center"/>
            <w:hideMark/>
          </w:tcPr>
          <w:p w14:paraId="448F1058" w14:textId="77777777" w:rsidR="00F37DA1" w:rsidRDefault="004E7609">
            <w:pPr>
              <w:pStyle w:val="P68B1DB1-Normal23"/>
              <w:jc w:val="center"/>
            </w:pPr>
            <w:r>
              <w:t>11</w:t>
            </w:r>
          </w:p>
        </w:tc>
        <w:tc>
          <w:tcPr>
            <w:tcW w:w="2882" w:type="dxa"/>
            <w:tcBorders>
              <w:top w:val="nil"/>
              <w:left w:val="nil"/>
              <w:bottom w:val="single" w:sz="8" w:space="0" w:color="FFFFFF"/>
              <w:right w:val="single" w:sz="8" w:space="0" w:color="FFFFFF"/>
            </w:tcBorders>
            <w:shd w:val="clear" w:color="000000" w:fill="D6E3BC"/>
            <w:noWrap/>
            <w:vAlign w:val="center"/>
            <w:hideMark/>
          </w:tcPr>
          <w:p w14:paraId="3F72DBE8" w14:textId="77777777" w:rsidR="00F37DA1" w:rsidRDefault="004E7609">
            <w:pPr>
              <w:pStyle w:val="P68B1DB1-Normal23"/>
              <w:jc w:val="center"/>
            </w:pPr>
            <w:r>
              <w:t>30</w:t>
            </w:r>
          </w:p>
        </w:tc>
      </w:tr>
    </w:tbl>
    <w:p w14:paraId="716C12E2" w14:textId="77777777" w:rsidR="00F37DA1" w:rsidRDefault="00F37DA1">
      <w:pPr>
        <w:spacing w:before="120" w:after="120"/>
        <w:rPr>
          <w:rFonts w:ascii="Arial" w:hAnsi="Arial" w:cs="Arial"/>
          <w:sz w:val="22"/>
        </w:rPr>
      </w:pPr>
    </w:p>
    <w:p w14:paraId="3EC7708E" w14:textId="77777777" w:rsidR="00F37DA1" w:rsidRDefault="004E7609">
      <w:pPr>
        <w:pStyle w:val="Indicator"/>
        <w:ind w:left="993" w:hanging="567"/>
      </w:pPr>
      <w:r>
        <w:t>Para aqueles países onde o padrão FSC aplicável ainda é baseado nos P&amp;C Versão 4, o usuário do PMC deve desenvolver um Plano de Ação levando em consideração a classificação dos Critérios conforme prescrito na Tabela 2.</w:t>
      </w:r>
    </w:p>
    <w:p w14:paraId="2B92E072" w14:textId="77777777" w:rsidR="00F37DA1" w:rsidRDefault="00F37DA1">
      <w:pPr>
        <w:tabs>
          <w:tab w:val="left" w:pos="6804"/>
        </w:tabs>
        <w:spacing w:before="120" w:after="120"/>
        <w:jc w:val="both"/>
        <w:rPr>
          <w:rFonts w:ascii="Arial" w:hAnsi="Arial" w:cs="Arial"/>
          <w:sz w:val="22"/>
        </w:rPr>
      </w:pPr>
    </w:p>
    <w:p w14:paraId="13D9176C" w14:textId="710385AE" w:rsidR="00F37DA1" w:rsidRDefault="004E7609">
      <w:pPr>
        <w:pStyle w:val="P68B1DB1-Normal6"/>
        <w:tabs>
          <w:tab w:val="left" w:pos="6804"/>
        </w:tabs>
        <w:spacing w:before="120" w:after="120"/>
        <w:jc w:val="both"/>
      </w:pPr>
      <w:r>
        <w:rPr>
          <w:b/>
        </w:rPr>
        <w:t>Tabela 2</w:t>
      </w:r>
      <w:r>
        <w:t>: Categorização de todos os critérios dos P&amp;C do FSC V4 (</w:t>
      </w:r>
      <w:r>
        <w:rPr>
          <w:i/>
        </w:rPr>
        <w:t>FSC-STD-01-001 V4-0)</w:t>
      </w:r>
    </w:p>
    <w:p w14:paraId="4432AEAF" w14:textId="67644777" w:rsidR="00F37DA1" w:rsidRDefault="00F37DA1">
      <w:pPr>
        <w:pStyle w:val="PargrafodaLista"/>
        <w:spacing w:before="120" w:after="120"/>
        <w:ind w:left="993"/>
        <w:rPr>
          <w:rFonts w:ascii="Arial" w:hAnsi="Arial" w:cs="Arial"/>
          <w:sz w:val="22"/>
        </w:rPr>
      </w:pPr>
    </w:p>
    <w:tbl>
      <w:tblPr>
        <w:tblpPr w:leftFromText="180" w:rightFromText="180" w:vertAnchor="text" w:horzAnchor="margin" w:tblpXSpec="right" w:tblpY="-292"/>
        <w:tblW w:w="9067" w:type="dxa"/>
        <w:tblLook w:val="04A0" w:firstRow="1" w:lastRow="0" w:firstColumn="1" w:lastColumn="0" w:noHBand="0" w:noVBand="1"/>
      </w:tblPr>
      <w:tblGrid>
        <w:gridCol w:w="1146"/>
        <w:gridCol w:w="2385"/>
        <w:gridCol w:w="2736"/>
        <w:gridCol w:w="2800"/>
      </w:tblGrid>
      <w:tr w:rsidR="00F37DA1" w14:paraId="14337042" w14:textId="77777777">
        <w:trPr>
          <w:trHeight w:val="419"/>
        </w:trPr>
        <w:tc>
          <w:tcPr>
            <w:tcW w:w="1146" w:type="dxa"/>
            <w:tcBorders>
              <w:top w:val="single" w:sz="8" w:space="0" w:color="FFFFFF"/>
              <w:left w:val="single" w:sz="8" w:space="0" w:color="FFFFFF"/>
              <w:bottom w:val="single" w:sz="8" w:space="0" w:color="FFFFFF"/>
              <w:right w:val="nil"/>
            </w:tcBorders>
            <w:shd w:val="clear" w:color="000000" w:fill="9BBB59"/>
            <w:noWrap/>
            <w:vAlign w:val="center"/>
            <w:hideMark/>
          </w:tcPr>
          <w:p w14:paraId="382BF2C5" w14:textId="77777777" w:rsidR="00F37DA1" w:rsidRDefault="004E7609">
            <w:pPr>
              <w:pStyle w:val="P68B1DB1-Normal23"/>
              <w:jc w:val="center"/>
            </w:pPr>
            <w:r>
              <w:t>Princípio</w:t>
            </w:r>
          </w:p>
        </w:tc>
        <w:tc>
          <w:tcPr>
            <w:tcW w:w="2385" w:type="dxa"/>
            <w:tcBorders>
              <w:top w:val="single" w:sz="8" w:space="0" w:color="FFFFFF"/>
              <w:left w:val="nil"/>
              <w:bottom w:val="single" w:sz="8" w:space="0" w:color="FFFFFF"/>
              <w:right w:val="nil"/>
            </w:tcBorders>
            <w:shd w:val="clear" w:color="000000" w:fill="D99594"/>
            <w:vAlign w:val="center"/>
            <w:hideMark/>
          </w:tcPr>
          <w:p w14:paraId="0779FF08" w14:textId="6DB37C62" w:rsidR="00F37DA1" w:rsidRDefault="004E7609">
            <w:pPr>
              <w:pStyle w:val="P68B1DB1-Normal24"/>
              <w:jc w:val="center"/>
            </w:pPr>
            <w:r>
              <w:t xml:space="preserve">Critérios </w:t>
            </w:r>
            <w:r w:rsidR="00401090">
              <w:t>Centrais</w:t>
            </w:r>
          </w:p>
          <w:p w14:paraId="090D39C0" w14:textId="19B7BC1B" w:rsidR="00F37DA1" w:rsidRDefault="004E7609">
            <w:pPr>
              <w:pStyle w:val="P68B1DB1-Normal24"/>
              <w:jc w:val="center"/>
            </w:pPr>
            <w:r>
              <w:t>(</w:t>
            </w:r>
            <w:r w:rsidR="00401090">
              <w:t>CC</w:t>
            </w:r>
            <w:r>
              <w:t>)</w:t>
            </w:r>
          </w:p>
        </w:tc>
        <w:tc>
          <w:tcPr>
            <w:tcW w:w="2736" w:type="dxa"/>
            <w:tcBorders>
              <w:top w:val="single" w:sz="8" w:space="0" w:color="FFFFFF"/>
              <w:left w:val="nil"/>
              <w:bottom w:val="single" w:sz="8" w:space="0" w:color="FFFFFF"/>
              <w:right w:val="nil"/>
            </w:tcBorders>
            <w:shd w:val="clear" w:color="000000" w:fill="E36C0A"/>
            <w:vAlign w:val="center"/>
            <w:hideMark/>
          </w:tcPr>
          <w:p w14:paraId="50C62BEE" w14:textId="77777777" w:rsidR="00F37DA1" w:rsidRDefault="004E7609">
            <w:pPr>
              <w:pStyle w:val="P68B1DB1-Normal24"/>
              <w:jc w:val="center"/>
            </w:pPr>
            <w:r>
              <w:t xml:space="preserve">Critérios Camaleão </w:t>
            </w:r>
          </w:p>
          <w:p w14:paraId="5B6D277B" w14:textId="3AEDD30B" w:rsidR="00F37DA1" w:rsidRDefault="004E7609">
            <w:pPr>
              <w:pStyle w:val="P68B1DB1-Normal24"/>
              <w:jc w:val="center"/>
            </w:pPr>
            <w:r>
              <w:t>(CCA)</w:t>
            </w:r>
          </w:p>
        </w:tc>
        <w:tc>
          <w:tcPr>
            <w:tcW w:w="2800" w:type="dxa"/>
            <w:tcBorders>
              <w:top w:val="single" w:sz="8" w:space="0" w:color="FFFFFF"/>
              <w:left w:val="nil"/>
              <w:bottom w:val="single" w:sz="8" w:space="0" w:color="FFFFFF"/>
              <w:right w:val="single" w:sz="8" w:space="0" w:color="FFFFFF"/>
            </w:tcBorders>
            <w:shd w:val="clear" w:color="000000" w:fill="9BBB59"/>
            <w:vAlign w:val="center"/>
            <w:hideMark/>
          </w:tcPr>
          <w:p w14:paraId="4E80CB43" w14:textId="77777777" w:rsidR="00F37DA1" w:rsidRDefault="004E7609">
            <w:pPr>
              <w:pStyle w:val="P68B1DB1-Normal24"/>
              <w:jc w:val="center"/>
            </w:pPr>
            <w:r>
              <w:t xml:space="preserve">Critérios de Melhoria Contínua </w:t>
            </w:r>
          </w:p>
          <w:p w14:paraId="05908463" w14:textId="415755BB" w:rsidR="00F37DA1" w:rsidRDefault="004E7609">
            <w:pPr>
              <w:pStyle w:val="P68B1DB1-Normal24"/>
              <w:jc w:val="center"/>
            </w:pPr>
            <w:r>
              <w:t>(CMC)</w:t>
            </w:r>
          </w:p>
        </w:tc>
      </w:tr>
      <w:tr w:rsidR="00F37DA1" w14:paraId="0EA61316"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1466407D" w14:textId="77777777" w:rsidR="00F37DA1" w:rsidRDefault="004E7609">
            <w:pPr>
              <w:pStyle w:val="P68B1DB1-Normal25"/>
              <w:jc w:val="center"/>
              <w:rPr>
                <w:color w:val="000000" w:themeColor="text1"/>
              </w:rPr>
            </w:pPr>
            <w:r>
              <w:t>1</w:t>
            </w:r>
          </w:p>
        </w:tc>
        <w:tc>
          <w:tcPr>
            <w:tcW w:w="2385" w:type="dxa"/>
            <w:tcBorders>
              <w:top w:val="nil"/>
              <w:left w:val="nil"/>
              <w:bottom w:val="single" w:sz="8" w:space="0" w:color="FFFFFF"/>
              <w:right w:val="single" w:sz="8" w:space="0" w:color="FFFFFF"/>
            </w:tcBorders>
            <w:shd w:val="clear" w:color="000000" w:fill="E5B8B7"/>
            <w:noWrap/>
            <w:vAlign w:val="center"/>
            <w:hideMark/>
          </w:tcPr>
          <w:p w14:paraId="31C4AAD7" w14:textId="77777777" w:rsidR="00F37DA1" w:rsidRDefault="004E7609">
            <w:pPr>
              <w:pStyle w:val="P68B1DB1-Normal25"/>
              <w:jc w:val="center"/>
              <w:rPr>
                <w:color w:val="000000" w:themeColor="text1"/>
              </w:rPr>
            </w:pPr>
            <w:r>
              <w:t>1,2,3,4,6</w:t>
            </w:r>
          </w:p>
        </w:tc>
        <w:tc>
          <w:tcPr>
            <w:tcW w:w="2736" w:type="dxa"/>
            <w:tcBorders>
              <w:top w:val="nil"/>
              <w:left w:val="nil"/>
              <w:bottom w:val="single" w:sz="8" w:space="0" w:color="FFFFFF"/>
              <w:right w:val="single" w:sz="8" w:space="0" w:color="FFFFFF"/>
            </w:tcBorders>
            <w:shd w:val="clear" w:color="000000" w:fill="FBD4B4"/>
            <w:noWrap/>
            <w:hideMark/>
          </w:tcPr>
          <w:p w14:paraId="60DAD31E" w14:textId="77777777" w:rsidR="00F37DA1" w:rsidRDefault="004E7609">
            <w:pPr>
              <w:pStyle w:val="P68B1DB1-Normal26"/>
              <w:rPr>
                <w:color w:val="000000" w:themeColor="text1"/>
              </w:rPr>
            </w:pPr>
            <w:r>
              <w:t> </w:t>
            </w:r>
          </w:p>
        </w:tc>
        <w:tc>
          <w:tcPr>
            <w:tcW w:w="2800" w:type="dxa"/>
            <w:tcBorders>
              <w:top w:val="nil"/>
              <w:left w:val="nil"/>
              <w:bottom w:val="single" w:sz="8" w:space="0" w:color="FFFFFF"/>
              <w:right w:val="single" w:sz="8" w:space="0" w:color="FFFFFF"/>
            </w:tcBorders>
            <w:shd w:val="clear" w:color="000000" w:fill="D6E3BC"/>
            <w:noWrap/>
            <w:vAlign w:val="center"/>
            <w:hideMark/>
          </w:tcPr>
          <w:p w14:paraId="45E21E02" w14:textId="77777777" w:rsidR="00F37DA1" w:rsidRDefault="004E7609">
            <w:pPr>
              <w:pStyle w:val="P68B1DB1-Normal25"/>
              <w:jc w:val="center"/>
              <w:rPr>
                <w:color w:val="000000" w:themeColor="text1"/>
              </w:rPr>
            </w:pPr>
            <w:r>
              <w:t>5</w:t>
            </w:r>
          </w:p>
        </w:tc>
      </w:tr>
      <w:tr w:rsidR="00F37DA1" w14:paraId="549ED01A"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1436FD19" w14:textId="77777777" w:rsidR="00F37DA1" w:rsidRDefault="004E7609">
            <w:pPr>
              <w:pStyle w:val="P68B1DB1-Normal25"/>
              <w:jc w:val="center"/>
              <w:rPr>
                <w:color w:val="000000" w:themeColor="text1"/>
              </w:rPr>
            </w:pPr>
            <w:r>
              <w:t>2</w:t>
            </w:r>
          </w:p>
        </w:tc>
        <w:tc>
          <w:tcPr>
            <w:tcW w:w="2385" w:type="dxa"/>
            <w:tcBorders>
              <w:top w:val="nil"/>
              <w:left w:val="nil"/>
              <w:bottom w:val="single" w:sz="8" w:space="0" w:color="FFFFFF"/>
              <w:right w:val="single" w:sz="8" w:space="0" w:color="FFFFFF"/>
            </w:tcBorders>
            <w:shd w:val="clear" w:color="000000" w:fill="F2DBDB"/>
            <w:noWrap/>
            <w:vAlign w:val="center"/>
            <w:hideMark/>
          </w:tcPr>
          <w:p w14:paraId="1C987436" w14:textId="77777777" w:rsidR="00F37DA1" w:rsidRDefault="004E7609">
            <w:pPr>
              <w:pStyle w:val="P68B1DB1-Normal25"/>
              <w:jc w:val="center"/>
              <w:rPr>
                <w:color w:val="000000" w:themeColor="text1"/>
              </w:rPr>
            </w:pPr>
            <w:r>
              <w:t>1,2,3</w:t>
            </w:r>
          </w:p>
        </w:tc>
        <w:tc>
          <w:tcPr>
            <w:tcW w:w="2736" w:type="dxa"/>
            <w:tcBorders>
              <w:top w:val="nil"/>
              <w:left w:val="nil"/>
              <w:bottom w:val="single" w:sz="8" w:space="0" w:color="FFFFFF"/>
              <w:right w:val="single" w:sz="8" w:space="0" w:color="FFFFFF"/>
            </w:tcBorders>
            <w:shd w:val="clear" w:color="000000" w:fill="FDE9D9"/>
            <w:noWrap/>
            <w:vAlign w:val="center"/>
            <w:hideMark/>
          </w:tcPr>
          <w:p w14:paraId="1FAF0413" w14:textId="77777777" w:rsidR="00F37DA1" w:rsidRDefault="004E7609">
            <w:pPr>
              <w:pStyle w:val="P68B1DB1-Normal25"/>
              <w:jc w:val="center"/>
              <w:rPr>
                <w:color w:val="000000" w:themeColor="text1"/>
              </w:rPr>
            </w:pPr>
            <w:r>
              <w:t> </w:t>
            </w:r>
          </w:p>
        </w:tc>
        <w:tc>
          <w:tcPr>
            <w:tcW w:w="2800" w:type="dxa"/>
            <w:tcBorders>
              <w:top w:val="nil"/>
              <w:left w:val="nil"/>
              <w:bottom w:val="single" w:sz="8" w:space="0" w:color="FFFFFF"/>
              <w:right w:val="single" w:sz="8" w:space="0" w:color="FFFFFF"/>
            </w:tcBorders>
            <w:shd w:val="clear" w:color="000000" w:fill="EAF1DD"/>
            <w:noWrap/>
            <w:vAlign w:val="center"/>
            <w:hideMark/>
          </w:tcPr>
          <w:p w14:paraId="183C192F" w14:textId="77777777" w:rsidR="00F37DA1" w:rsidRDefault="004E7609">
            <w:pPr>
              <w:pStyle w:val="P68B1DB1-Normal25"/>
              <w:jc w:val="center"/>
              <w:rPr>
                <w:color w:val="000000" w:themeColor="text1"/>
              </w:rPr>
            </w:pPr>
            <w:r>
              <w:t> </w:t>
            </w:r>
          </w:p>
        </w:tc>
      </w:tr>
      <w:tr w:rsidR="00F37DA1" w14:paraId="5A7DBEE2"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6BA25FD7" w14:textId="77777777" w:rsidR="00F37DA1" w:rsidRDefault="004E7609">
            <w:pPr>
              <w:pStyle w:val="P68B1DB1-Normal25"/>
              <w:jc w:val="center"/>
              <w:rPr>
                <w:color w:val="000000" w:themeColor="text1"/>
              </w:rPr>
            </w:pPr>
            <w:r>
              <w:t>3</w:t>
            </w:r>
          </w:p>
        </w:tc>
        <w:tc>
          <w:tcPr>
            <w:tcW w:w="2385" w:type="dxa"/>
            <w:tcBorders>
              <w:top w:val="nil"/>
              <w:left w:val="nil"/>
              <w:bottom w:val="single" w:sz="8" w:space="0" w:color="FFFFFF"/>
              <w:right w:val="single" w:sz="8" w:space="0" w:color="FFFFFF"/>
            </w:tcBorders>
            <w:shd w:val="clear" w:color="000000" w:fill="E5B8B7"/>
            <w:noWrap/>
            <w:vAlign w:val="center"/>
            <w:hideMark/>
          </w:tcPr>
          <w:p w14:paraId="4F43B89C" w14:textId="77777777" w:rsidR="00F37DA1" w:rsidRDefault="004E7609">
            <w:pPr>
              <w:pStyle w:val="P68B1DB1-Normal25"/>
              <w:jc w:val="center"/>
              <w:rPr>
                <w:color w:val="000000" w:themeColor="text1"/>
              </w:rPr>
            </w:pPr>
            <w:r>
              <w:t>1,2</w:t>
            </w:r>
          </w:p>
        </w:tc>
        <w:tc>
          <w:tcPr>
            <w:tcW w:w="2736" w:type="dxa"/>
            <w:tcBorders>
              <w:top w:val="nil"/>
              <w:left w:val="nil"/>
              <w:bottom w:val="single" w:sz="8" w:space="0" w:color="FFFFFF"/>
              <w:right w:val="single" w:sz="8" w:space="0" w:color="FFFFFF"/>
            </w:tcBorders>
            <w:shd w:val="clear" w:color="000000" w:fill="FBD4B4"/>
            <w:noWrap/>
            <w:hideMark/>
          </w:tcPr>
          <w:p w14:paraId="740E1C19" w14:textId="77777777" w:rsidR="00F37DA1" w:rsidRDefault="004E7609">
            <w:pPr>
              <w:pStyle w:val="P68B1DB1-Normal26"/>
              <w:rPr>
                <w:color w:val="000000" w:themeColor="text1"/>
              </w:rPr>
            </w:pPr>
            <w:r>
              <w:t> </w:t>
            </w:r>
          </w:p>
        </w:tc>
        <w:tc>
          <w:tcPr>
            <w:tcW w:w="2800" w:type="dxa"/>
            <w:tcBorders>
              <w:top w:val="nil"/>
              <w:left w:val="nil"/>
              <w:bottom w:val="single" w:sz="8" w:space="0" w:color="FFFFFF"/>
              <w:right w:val="single" w:sz="8" w:space="0" w:color="FFFFFF"/>
            </w:tcBorders>
            <w:shd w:val="clear" w:color="000000" w:fill="D6E3BC"/>
            <w:noWrap/>
            <w:vAlign w:val="center"/>
            <w:hideMark/>
          </w:tcPr>
          <w:p w14:paraId="5C58ECB5" w14:textId="77777777" w:rsidR="00F37DA1" w:rsidRDefault="004E7609">
            <w:pPr>
              <w:pStyle w:val="P68B1DB1-Normal25"/>
              <w:jc w:val="center"/>
              <w:rPr>
                <w:color w:val="000000" w:themeColor="text1"/>
              </w:rPr>
            </w:pPr>
            <w:r>
              <w:t>3,4</w:t>
            </w:r>
          </w:p>
        </w:tc>
      </w:tr>
      <w:tr w:rsidR="00F37DA1" w14:paraId="0BF11B20"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510C9DB" w14:textId="77777777" w:rsidR="00F37DA1" w:rsidRDefault="004E7609">
            <w:pPr>
              <w:pStyle w:val="P68B1DB1-Normal25"/>
              <w:jc w:val="center"/>
              <w:rPr>
                <w:color w:val="000000" w:themeColor="text1"/>
              </w:rPr>
            </w:pPr>
            <w:r>
              <w:t>4</w:t>
            </w:r>
          </w:p>
        </w:tc>
        <w:tc>
          <w:tcPr>
            <w:tcW w:w="2385" w:type="dxa"/>
            <w:tcBorders>
              <w:top w:val="nil"/>
              <w:left w:val="nil"/>
              <w:bottom w:val="single" w:sz="8" w:space="0" w:color="FFFFFF"/>
              <w:right w:val="single" w:sz="8" w:space="0" w:color="FFFFFF"/>
            </w:tcBorders>
            <w:shd w:val="clear" w:color="000000" w:fill="F2DBDB"/>
            <w:noWrap/>
            <w:vAlign w:val="center"/>
            <w:hideMark/>
          </w:tcPr>
          <w:p w14:paraId="101CA3AA" w14:textId="77777777" w:rsidR="00F37DA1" w:rsidRDefault="004E7609">
            <w:pPr>
              <w:pStyle w:val="P68B1DB1-Normal25"/>
              <w:jc w:val="center"/>
              <w:rPr>
                <w:color w:val="000000" w:themeColor="text1"/>
              </w:rPr>
            </w:pPr>
            <w:r>
              <w:t>3,5</w:t>
            </w:r>
          </w:p>
        </w:tc>
        <w:tc>
          <w:tcPr>
            <w:tcW w:w="2736" w:type="dxa"/>
            <w:tcBorders>
              <w:top w:val="nil"/>
              <w:left w:val="nil"/>
              <w:bottom w:val="single" w:sz="8" w:space="0" w:color="FFFFFF"/>
              <w:right w:val="single" w:sz="8" w:space="0" w:color="FFFFFF"/>
            </w:tcBorders>
            <w:shd w:val="clear" w:color="000000" w:fill="FDE9D9"/>
            <w:noWrap/>
            <w:vAlign w:val="center"/>
            <w:hideMark/>
          </w:tcPr>
          <w:p w14:paraId="35BF60B6" w14:textId="77777777" w:rsidR="00F37DA1" w:rsidRDefault="004E7609">
            <w:pPr>
              <w:pStyle w:val="P68B1DB1-Normal25"/>
              <w:jc w:val="center"/>
              <w:rPr>
                <w:color w:val="000000" w:themeColor="text1"/>
              </w:rPr>
            </w:pPr>
            <w:r>
              <w:t>2</w:t>
            </w:r>
          </w:p>
        </w:tc>
        <w:tc>
          <w:tcPr>
            <w:tcW w:w="2800" w:type="dxa"/>
            <w:tcBorders>
              <w:top w:val="nil"/>
              <w:left w:val="nil"/>
              <w:bottom w:val="single" w:sz="8" w:space="0" w:color="FFFFFF"/>
              <w:right w:val="single" w:sz="8" w:space="0" w:color="FFFFFF"/>
            </w:tcBorders>
            <w:shd w:val="clear" w:color="000000" w:fill="EAF1DD"/>
            <w:noWrap/>
            <w:vAlign w:val="center"/>
            <w:hideMark/>
          </w:tcPr>
          <w:p w14:paraId="09EE098D" w14:textId="77777777" w:rsidR="00F37DA1" w:rsidRDefault="004E7609">
            <w:pPr>
              <w:pStyle w:val="P68B1DB1-Normal25"/>
              <w:jc w:val="center"/>
              <w:rPr>
                <w:color w:val="000000" w:themeColor="text1"/>
              </w:rPr>
            </w:pPr>
            <w:r>
              <w:t>1,4</w:t>
            </w:r>
          </w:p>
        </w:tc>
      </w:tr>
      <w:tr w:rsidR="00F37DA1" w14:paraId="44B12AF1" w14:textId="77777777">
        <w:trPr>
          <w:trHeight w:val="169"/>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3BAA573E" w14:textId="77777777" w:rsidR="00F37DA1" w:rsidRDefault="004E7609">
            <w:pPr>
              <w:pStyle w:val="P68B1DB1-Normal25"/>
              <w:jc w:val="center"/>
              <w:rPr>
                <w:color w:val="000000" w:themeColor="text1"/>
              </w:rPr>
            </w:pPr>
            <w:r>
              <w:t>5</w:t>
            </w:r>
          </w:p>
        </w:tc>
        <w:tc>
          <w:tcPr>
            <w:tcW w:w="2385" w:type="dxa"/>
            <w:tcBorders>
              <w:top w:val="nil"/>
              <w:left w:val="nil"/>
              <w:bottom w:val="single" w:sz="8" w:space="0" w:color="FFFFFF"/>
              <w:right w:val="single" w:sz="8" w:space="0" w:color="FFFFFF"/>
            </w:tcBorders>
            <w:shd w:val="clear" w:color="000000" w:fill="E5B8B7"/>
            <w:noWrap/>
            <w:hideMark/>
          </w:tcPr>
          <w:p w14:paraId="10E1BD58" w14:textId="77777777" w:rsidR="00F37DA1" w:rsidRDefault="004E7609">
            <w:pPr>
              <w:pStyle w:val="P68B1DB1-Normal26"/>
              <w:rPr>
                <w:color w:val="000000" w:themeColor="text1"/>
              </w:rPr>
            </w:pPr>
            <w:r>
              <w:t> </w:t>
            </w:r>
          </w:p>
        </w:tc>
        <w:tc>
          <w:tcPr>
            <w:tcW w:w="2736" w:type="dxa"/>
            <w:tcBorders>
              <w:top w:val="nil"/>
              <w:left w:val="nil"/>
              <w:bottom w:val="single" w:sz="8" w:space="0" w:color="FFFFFF"/>
              <w:right w:val="single" w:sz="8" w:space="0" w:color="FFFFFF"/>
            </w:tcBorders>
            <w:shd w:val="clear" w:color="000000" w:fill="FBD4B4"/>
            <w:noWrap/>
            <w:vAlign w:val="center"/>
            <w:hideMark/>
          </w:tcPr>
          <w:p w14:paraId="3F2987F3" w14:textId="77777777" w:rsidR="00F37DA1" w:rsidRDefault="004E7609">
            <w:pPr>
              <w:pStyle w:val="P68B1DB1-Normal25"/>
              <w:jc w:val="center"/>
              <w:rPr>
                <w:color w:val="000000" w:themeColor="text1"/>
              </w:rPr>
            </w:pPr>
            <w:r>
              <w:t>3,6</w:t>
            </w:r>
          </w:p>
        </w:tc>
        <w:tc>
          <w:tcPr>
            <w:tcW w:w="2800" w:type="dxa"/>
            <w:tcBorders>
              <w:top w:val="nil"/>
              <w:left w:val="nil"/>
              <w:bottom w:val="single" w:sz="8" w:space="0" w:color="FFFFFF"/>
              <w:right w:val="single" w:sz="8" w:space="0" w:color="FFFFFF"/>
            </w:tcBorders>
            <w:shd w:val="clear" w:color="000000" w:fill="D6E3BC"/>
            <w:noWrap/>
            <w:vAlign w:val="center"/>
            <w:hideMark/>
          </w:tcPr>
          <w:p w14:paraId="37514AD9" w14:textId="77777777" w:rsidR="00F37DA1" w:rsidRDefault="004E7609">
            <w:pPr>
              <w:pStyle w:val="P68B1DB1-Normal25"/>
              <w:jc w:val="center"/>
              <w:rPr>
                <w:color w:val="000000" w:themeColor="text1"/>
              </w:rPr>
            </w:pPr>
            <w:r>
              <w:t>1,2,4,5</w:t>
            </w:r>
          </w:p>
        </w:tc>
      </w:tr>
      <w:tr w:rsidR="00F37DA1" w14:paraId="3E03595F"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5BC93DA9" w14:textId="77777777" w:rsidR="00F37DA1" w:rsidRDefault="004E7609">
            <w:pPr>
              <w:pStyle w:val="P68B1DB1-Normal25"/>
              <w:jc w:val="center"/>
              <w:rPr>
                <w:color w:val="000000" w:themeColor="text1"/>
              </w:rPr>
            </w:pPr>
            <w:r>
              <w:t>6</w:t>
            </w:r>
          </w:p>
        </w:tc>
        <w:tc>
          <w:tcPr>
            <w:tcW w:w="2385" w:type="dxa"/>
            <w:tcBorders>
              <w:top w:val="nil"/>
              <w:left w:val="nil"/>
              <w:bottom w:val="single" w:sz="8" w:space="0" w:color="FFFFFF"/>
              <w:right w:val="single" w:sz="8" w:space="0" w:color="FFFFFF"/>
            </w:tcBorders>
            <w:shd w:val="clear" w:color="000000" w:fill="F2DBDB"/>
            <w:noWrap/>
            <w:vAlign w:val="center"/>
            <w:hideMark/>
          </w:tcPr>
          <w:p w14:paraId="524F5BA1" w14:textId="77777777" w:rsidR="00F37DA1" w:rsidRDefault="004E7609">
            <w:pPr>
              <w:pStyle w:val="P68B1DB1-Normal25"/>
              <w:jc w:val="center"/>
              <w:rPr>
                <w:color w:val="000000" w:themeColor="text1"/>
              </w:rPr>
            </w:pPr>
            <w:r>
              <w:t>2,6,8,9,10</w:t>
            </w:r>
          </w:p>
        </w:tc>
        <w:tc>
          <w:tcPr>
            <w:tcW w:w="2736" w:type="dxa"/>
            <w:tcBorders>
              <w:top w:val="nil"/>
              <w:left w:val="nil"/>
              <w:bottom w:val="single" w:sz="8" w:space="0" w:color="FFFFFF"/>
              <w:right w:val="single" w:sz="8" w:space="0" w:color="FFFFFF"/>
            </w:tcBorders>
            <w:shd w:val="clear" w:color="000000" w:fill="FDE9D9"/>
            <w:noWrap/>
            <w:vAlign w:val="center"/>
            <w:hideMark/>
          </w:tcPr>
          <w:p w14:paraId="497B0428" w14:textId="77777777" w:rsidR="00F37DA1" w:rsidRDefault="004E7609">
            <w:pPr>
              <w:pStyle w:val="P68B1DB1-Normal25"/>
              <w:jc w:val="center"/>
              <w:rPr>
                <w:color w:val="000000" w:themeColor="text1"/>
              </w:rPr>
            </w:pPr>
            <w:r>
              <w:t>1,4,5</w:t>
            </w:r>
          </w:p>
        </w:tc>
        <w:tc>
          <w:tcPr>
            <w:tcW w:w="2800" w:type="dxa"/>
            <w:tcBorders>
              <w:top w:val="nil"/>
              <w:left w:val="nil"/>
              <w:bottom w:val="single" w:sz="8" w:space="0" w:color="FFFFFF"/>
              <w:right w:val="single" w:sz="8" w:space="0" w:color="FFFFFF"/>
            </w:tcBorders>
            <w:shd w:val="clear" w:color="000000" w:fill="EAF1DD"/>
            <w:noWrap/>
            <w:vAlign w:val="center"/>
            <w:hideMark/>
          </w:tcPr>
          <w:p w14:paraId="0F5B561D" w14:textId="77777777" w:rsidR="00F37DA1" w:rsidRDefault="004E7609">
            <w:pPr>
              <w:pStyle w:val="P68B1DB1-Normal25"/>
              <w:jc w:val="center"/>
              <w:rPr>
                <w:color w:val="000000" w:themeColor="text1"/>
              </w:rPr>
            </w:pPr>
            <w:r>
              <w:t>3,7</w:t>
            </w:r>
          </w:p>
        </w:tc>
      </w:tr>
      <w:tr w:rsidR="00F37DA1" w14:paraId="3BAF419A"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1886C41" w14:textId="77777777" w:rsidR="00F37DA1" w:rsidRDefault="004E7609">
            <w:pPr>
              <w:pStyle w:val="P68B1DB1-Normal25"/>
              <w:jc w:val="center"/>
              <w:rPr>
                <w:color w:val="000000" w:themeColor="text1"/>
              </w:rPr>
            </w:pPr>
            <w:r>
              <w:t>7</w:t>
            </w:r>
          </w:p>
        </w:tc>
        <w:tc>
          <w:tcPr>
            <w:tcW w:w="2385" w:type="dxa"/>
            <w:tcBorders>
              <w:top w:val="nil"/>
              <w:left w:val="nil"/>
              <w:bottom w:val="single" w:sz="8" w:space="0" w:color="FFFFFF"/>
              <w:right w:val="single" w:sz="8" w:space="0" w:color="FFFFFF"/>
            </w:tcBorders>
            <w:shd w:val="clear" w:color="000000" w:fill="E5B8B7"/>
            <w:noWrap/>
            <w:vAlign w:val="center"/>
            <w:hideMark/>
          </w:tcPr>
          <w:p w14:paraId="09ADABD2" w14:textId="77777777" w:rsidR="00F37DA1" w:rsidRDefault="004E7609">
            <w:pPr>
              <w:pStyle w:val="P68B1DB1-Normal25"/>
              <w:jc w:val="center"/>
              <w:rPr>
                <w:color w:val="000000" w:themeColor="text1"/>
              </w:rPr>
            </w:pPr>
            <w:r>
              <w:t> </w:t>
            </w:r>
          </w:p>
        </w:tc>
        <w:tc>
          <w:tcPr>
            <w:tcW w:w="2736" w:type="dxa"/>
            <w:tcBorders>
              <w:top w:val="nil"/>
              <w:left w:val="nil"/>
              <w:bottom w:val="single" w:sz="8" w:space="0" w:color="FFFFFF"/>
              <w:right w:val="single" w:sz="8" w:space="0" w:color="FFFFFF"/>
            </w:tcBorders>
            <w:shd w:val="clear" w:color="000000" w:fill="FBD4B4"/>
            <w:noWrap/>
            <w:hideMark/>
          </w:tcPr>
          <w:p w14:paraId="66A53F39" w14:textId="77777777" w:rsidR="00F37DA1" w:rsidRDefault="004E7609">
            <w:pPr>
              <w:pStyle w:val="P68B1DB1-Normal25"/>
              <w:jc w:val="center"/>
              <w:rPr>
                <w:color w:val="000000" w:themeColor="text1"/>
              </w:rPr>
            </w:pPr>
            <w:r>
              <w:t>1, 3</w:t>
            </w:r>
          </w:p>
        </w:tc>
        <w:tc>
          <w:tcPr>
            <w:tcW w:w="2800" w:type="dxa"/>
            <w:tcBorders>
              <w:top w:val="nil"/>
              <w:left w:val="nil"/>
              <w:bottom w:val="single" w:sz="8" w:space="0" w:color="FFFFFF"/>
              <w:right w:val="single" w:sz="8" w:space="0" w:color="FFFFFF"/>
            </w:tcBorders>
            <w:shd w:val="clear" w:color="000000" w:fill="D6E3BC"/>
            <w:noWrap/>
            <w:vAlign w:val="center"/>
            <w:hideMark/>
          </w:tcPr>
          <w:p w14:paraId="6C7766CA" w14:textId="77777777" w:rsidR="00F37DA1" w:rsidRDefault="004E7609">
            <w:pPr>
              <w:pStyle w:val="P68B1DB1-Normal25"/>
              <w:jc w:val="center"/>
              <w:rPr>
                <w:color w:val="000000" w:themeColor="text1"/>
              </w:rPr>
            </w:pPr>
            <w:r>
              <w:t>2,4</w:t>
            </w:r>
          </w:p>
        </w:tc>
      </w:tr>
      <w:tr w:rsidR="00F37DA1" w14:paraId="6CC49CB1"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4D749247" w14:textId="77777777" w:rsidR="00F37DA1" w:rsidRDefault="004E7609">
            <w:pPr>
              <w:pStyle w:val="P68B1DB1-Normal25"/>
              <w:jc w:val="center"/>
              <w:rPr>
                <w:color w:val="000000" w:themeColor="text1"/>
              </w:rPr>
            </w:pPr>
            <w:r>
              <w:t>8</w:t>
            </w:r>
          </w:p>
        </w:tc>
        <w:tc>
          <w:tcPr>
            <w:tcW w:w="2385" w:type="dxa"/>
            <w:tcBorders>
              <w:top w:val="nil"/>
              <w:left w:val="nil"/>
              <w:bottom w:val="single" w:sz="8" w:space="0" w:color="FFFFFF"/>
              <w:right w:val="single" w:sz="8" w:space="0" w:color="FFFFFF"/>
            </w:tcBorders>
            <w:shd w:val="clear" w:color="000000" w:fill="F2DBDB"/>
            <w:noWrap/>
            <w:vAlign w:val="center"/>
            <w:hideMark/>
          </w:tcPr>
          <w:p w14:paraId="0C1C85C3" w14:textId="77777777" w:rsidR="00F37DA1" w:rsidRDefault="004E7609">
            <w:pPr>
              <w:pStyle w:val="P68B1DB1-Normal25"/>
              <w:jc w:val="center"/>
              <w:rPr>
                <w:color w:val="000000" w:themeColor="text1"/>
              </w:rPr>
            </w:pPr>
            <w:r>
              <w:t>3</w:t>
            </w:r>
          </w:p>
        </w:tc>
        <w:tc>
          <w:tcPr>
            <w:tcW w:w="2736" w:type="dxa"/>
            <w:tcBorders>
              <w:top w:val="nil"/>
              <w:left w:val="nil"/>
              <w:bottom w:val="single" w:sz="8" w:space="0" w:color="FFFFFF"/>
              <w:right w:val="single" w:sz="8" w:space="0" w:color="FFFFFF"/>
            </w:tcBorders>
            <w:shd w:val="clear" w:color="000000" w:fill="FDE9D9"/>
            <w:noWrap/>
            <w:hideMark/>
          </w:tcPr>
          <w:p w14:paraId="3D4446C2" w14:textId="77777777" w:rsidR="00F37DA1" w:rsidRDefault="004E7609">
            <w:pPr>
              <w:pStyle w:val="P68B1DB1-Normal26"/>
              <w:rPr>
                <w:color w:val="000000" w:themeColor="text1"/>
              </w:rPr>
            </w:pPr>
            <w:r>
              <w:t> </w:t>
            </w:r>
          </w:p>
        </w:tc>
        <w:tc>
          <w:tcPr>
            <w:tcW w:w="2800" w:type="dxa"/>
            <w:tcBorders>
              <w:top w:val="nil"/>
              <w:left w:val="nil"/>
              <w:bottom w:val="single" w:sz="8" w:space="0" w:color="FFFFFF"/>
              <w:right w:val="single" w:sz="8" w:space="0" w:color="FFFFFF"/>
            </w:tcBorders>
            <w:shd w:val="clear" w:color="000000" w:fill="EAF1DD"/>
            <w:noWrap/>
            <w:vAlign w:val="center"/>
            <w:hideMark/>
          </w:tcPr>
          <w:p w14:paraId="7F5B4DCD" w14:textId="77777777" w:rsidR="00F37DA1" w:rsidRDefault="004E7609">
            <w:pPr>
              <w:pStyle w:val="P68B1DB1-Normal25"/>
              <w:jc w:val="center"/>
              <w:rPr>
                <w:color w:val="000000" w:themeColor="text1"/>
              </w:rPr>
            </w:pPr>
            <w:r>
              <w:t>1,2,4,5</w:t>
            </w:r>
          </w:p>
        </w:tc>
      </w:tr>
      <w:tr w:rsidR="00F37DA1" w14:paraId="0C9977F0"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4DBC2FCE" w14:textId="77777777" w:rsidR="00F37DA1" w:rsidRDefault="004E7609">
            <w:pPr>
              <w:pStyle w:val="P68B1DB1-Normal25"/>
              <w:jc w:val="center"/>
              <w:rPr>
                <w:color w:val="000000" w:themeColor="text1"/>
              </w:rPr>
            </w:pPr>
            <w:r>
              <w:t>9</w:t>
            </w:r>
          </w:p>
        </w:tc>
        <w:tc>
          <w:tcPr>
            <w:tcW w:w="2385" w:type="dxa"/>
            <w:tcBorders>
              <w:top w:val="nil"/>
              <w:left w:val="nil"/>
              <w:bottom w:val="single" w:sz="8" w:space="0" w:color="FFFFFF"/>
              <w:right w:val="single" w:sz="8" w:space="0" w:color="FFFFFF"/>
            </w:tcBorders>
            <w:shd w:val="clear" w:color="000000" w:fill="E5B8B7"/>
            <w:noWrap/>
            <w:hideMark/>
          </w:tcPr>
          <w:p w14:paraId="4782D544" w14:textId="77777777" w:rsidR="00F37DA1" w:rsidRDefault="004E7609">
            <w:pPr>
              <w:pStyle w:val="P68B1DB1-Normal26"/>
              <w:rPr>
                <w:color w:val="000000" w:themeColor="text1"/>
              </w:rPr>
            </w:pPr>
            <w:r>
              <w:t> </w:t>
            </w:r>
          </w:p>
        </w:tc>
        <w:tc>
          <w:tcPr>
            <w:tcW w:w="2736" w:type="dxa"/>
            <w:tcBorders>
              <w:top w:val="nil"/>
              <w:left w:val="nil"/>
              <w:bottom w:val="single" w:sz="8" w:space="0" w:color="FFFFFF"/>
              <w:right w:val="single" w:sz="8" w:space="0" w:color="FFFFFF"/>
            </w:tcBorders>
            <w:shd w:val="clear" w:color="000000" w:fill="FBD4B4"/>
            <w:noWrap/>
            <w:vAlign w:val="center"/>
            <w:hideMark/>
          </w:tcPr>
          <w:p w14:paraId="013C6CF8" w14:textId="77777777" w:rsidR="00F37DA1" w:rsidRDefault="004E7609">
            <w:pPr>
              <w:pStyle w:val="P68B1DB1-Normal25"/>
              <w:jc w:val="center"/>
              <w:rPr>
                <w:color w:val="000000" w:themeColor="text1"/>
              </w:rPr>
            </w:pPr>
            <w:r>
              <w:t>1</w:t>
            </w:r>
          </w:p>
        </w:tc>
        <w:tc>
          <w:tcPr>
            <w:tcW w:w="2800" w:type="dxa"/>
            <w:tcBorders>
              <w:top w:val="nil"/>
              <w:left w:val="nil"/>
              <w:bottom w:val="single" w:sz="8" w:space="0" w:color="FFFFFF"/>
              <w:right w:val="single" w:sz="8" w:space="0" w:color="FFFFFF"/>
            </w:tcBorders>
            <w:shd w:val="clear" w:color="000000" w:fill="D6E3BC"/>
            <w:noWrap/>
            <w:vAlign w:val="center"/>
            <w:hideMark/>
          </w:tcPr>
          <w:p w14:paraId="062D22B7" w14:textId="77777777" w:rsidR="00F37DA1" w:rsidRDefault="004E7609">
            <w:pPr>
              <w:pStyle w:val="P68B1DB1-Normal25"/>
              <w:jc w:val="center"/>
              <w:rPr>
                <w:color w:val="000000" w:themeColor="text1"/>
              </w:rPr>
            </w:pPr>
            <w:r>
              <w:t>2,3,4</w:t>
            </w:r>
          </w:p>
        </w:tc>
      </w:tr>
      <w:tr w:rsidR="00F37DA1" w14:paraId="6ED29967"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769AECA9" w14:textId="77777777" w:rsidR="00F37DA1" w:rsidRDefault="004E7609">
            <w:pPr>
              <w:pStyle w:val="P68B1DB1-Normal25"/>
              <w:jc w:val="center"/>
              <w:rPr>
                <w:color w:val="000000" w:themeColor="text1"/>
              </w:rPr>
            </w:pPr>
            <w:r>
              <w:t>10</w:t>
            </w:r>
          </w:p>
        </w:tc>
        <w:tc>
          <w:tcPr>
            <w:tcW w:w="2385" w:type="dxa"/>
            <w:tcBorders>
              <w:top w:val="nil"/>
              <w:left w:val="nil"/>
              <w:bottom w:val="single" w:sz="8" w:space="0" w:color="FFFFFF"/>
              <w:right w:val="single" w:sz="8" w:space="0" w:color="FFFFFF"/>
            </w:tcBorders>
            <w:shd w:val="clear" w:color="000000" w:fill="F2DBDB"/>
            <w:noWrap/>
            <w:vAlign w:val="center"/>
            <w:hideMark/>
          </w:tcPr>
          <w:p w14:paraId="3076125A" w14:textId="77777777" w:rsidR="00F37DA1" w:rsidRDefault="004E7609">
            <w:pPr>
              <w:pStyle w:val="P68B1DB1-Normal25"/>
              <w:jc w:val="center"/>
              <w:rPr>
                <w:color w:val="000000" w:themeColor="text1"/>
              </w:rPr>
            </w:pPr>
            <w:r>
              <w:t>1,2,4,7,8,9</w:t>
            </w:r>
          </w:p>
        </w:tc>
        <w:tc>
          <w:tcPr>
            <w:tcW w:w="2736" w:type="dxa"/>
            <w:tcBorders>
              <w:top w:val="nil"/>
              <w:left w:val="nil"/>
              <w:bottom w:val="single" w:sz="8" w:space="0" w:color="FFFFFF"/>
              <w:right w:val="single" w:sz="8" w:space="0" w:color="FFFFFF"/>
            </w:tcBorders>
            <w:shd w:val="clear" w:color="000000" w:fill="FBD4B4"/>
            <w:noWrap/>
            <w:vAlign w:val="center"/>
            <w:hideMark/>
          </w:tcPr>
          <w:p w14:paraId="3CAAD598" w14:textId="77777777" w:rsidR="00F37DA1" w:rsidRDefault="004E7609">
            <w:pPr>
              <w:pStyle w:val="P68B1DB1-Normal25"/>
              <w:jc w:val="center"/>
              <w:rPr>
                <w:color w:val="000000" w:themeColor="text1"/>
              </w:rPr>
            </w:pPr>
            <w:r>
              <w:t>5,6</w:t>
            </w:r>
          </w:p>
        </w:tc>
        <w:tc>
          <w:tcPr>
            <w:tcW w:w="2800" w:type="dxa"/>
            <w:tcBorders>
              <w:top w:val="nil"/>
              <w:left w:val="nil"/>
              <w:bottom w:val="single" w:sz="8" w:space="0" w:color="FFFFFF"/>
              <w:right w:val="single" w:sz="8" w:space="0" w:color="FFFFFF"/>
            </w:tcBorders>
            <w:shd w:val="clear" w:color="000000" w:fill="D6E3BC"/>
            <w:noWrap/>
            <w:vAlign w:val="center"/>
            <w:hideMark/>
          </w:tcPr>
          <w:p w14:paraId="00D10C54" w14:textId="77777777" w:rsidR="00F37DA1" w:rsidRDefault="004E7609">
            <w:pPr>
              <w:pStyle w:val="P68B1DB1-Normal25"/>
              <w:jc w:val="center"/>
              <w:rPr>
                <w:color w:val="000000" w:themeColor="text1"/>
              </w:rPr>
            </w:pPr>
            <w:r>
              <w:t>3</w:t>
            </w:r>
          </w:p>
        </w:tc>
      </w:tr>
      <w:tr w:rsidR="00F37DA1" w14:paraId="71B68018"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053E8AD" w14:textId="77777777" w:rsidR="00F37DA1" w:rsidRDefault="004E7609">
            <w:pPr>
              <w:pStyle w:val="P68B1DB1-Normal23"/>
              <w:jc w:val="center"/>
            </w:pPr>
            <w:r>
              <w:t>TOTAL</w:t>
            </w:r>
          </w:p>
        </w:tc>
        <w:tc>
          <w:tcPr>
            <w:tcW w:w="2385" w:type="dxa"/>
            <w:tcBorders>
              <w:top w:val="nil"/>
              <w:left w:val="nil"/>
              <w:bottom w:val="single" w:sz="8" w:space="0" w:color="FFFFFF"/>
              <w:right w:val="single" w:sz="8" w:space="0" w:color="FFFFFF"/>
            </w:tcBorders>
            <w:shd w:val="clear" w:color="000000" w:fill="E5B8B7"/>
            <w:noWrap/>
            <w:vAlign w:val="center"/>
            <w:hideMark/>
          </w:tcPr>
          <w:p w14:paraId="4E11F536" w14:textId="77777777" w:rsidR="00F37DA1" w:rsidRDefault="004E7609">
            <w:pPr>
              <w:pStyle w:val="P68B1DB1-Normal23"/>
              <w:jc w:val="center"/>
            </w:pPr>
            <w:r>
              <w:t>24</w:t>
            </w:r>
          </w:p>
        </w:tc>
        <w:tc>
          <w:tcPr>
            <w:tcW w:w="2736" w:type="dxa"/>
            <w:tcBorders>
              <w:top w:val="nil"/>
              <w:left w:val="nil"/>
              <w:bottom w:val="single" w:sz="8" w:space="0" w:color="FFFFFF"/>
              <w:right w:val="single" w:sz="8" w:space="0" w:color="FFFFFF"/>
            </w:tcBorders>
            <w:shd w:val="clear" w:color="000000" w:fill="FBD4B4"/>
            <w:noWrap/>
            <w:vAlign w:val="center"/>
            <w:hideMark/>
          </w:tcPr>
          <w:p w14:paraId="21F8F395" w14:textId="38B81F11" w:rsidR="00F37DA1" w:rsidRDefault="00401090">
            <w:pPr>
              <w:pStyle w:val="P68B1DB1-Normal23"/>
              <w:jc w:val="center"/>
            </w:pPr>
            <w:r>
              <w:t>11</w:t>
            </w:r>
          </w:p>
        </w:tc>
        <w:tc>
          <w:tcPr>
            <w:tcW w:w="2800" w:type="dxa"/>
            <w:tcBorders>
              <w:top w:val="nil"/>
              <w:left w:val="nil"/>
              <w:bottom w:val="single" w:sz="8" w:space="0" w:color="FFFFFF"/>
              <w:right w:val="single" w:sz="8" w:space="0" w:color="FFFFFF"/>
            </w:tcBorders>
            <w:shd w:val="clear" w:color="000000" w:fill="D6E3BC"/>
            <w:noWrap/>
            <w:vAlign w:val="center"/>
            <w:hideMark/>
          </w:tcPr>
          <w:p w14:paraId="66A5623C" w14:textId="0A8C9F0E" w:rsidR="00F37DA1" w:rsidRDefault="00401090">
            <w:pPr>
              <w:pStyle w:val="P68B1DB1-Normal23"/>
              <w:jc w:val="center"/>
            </w:pPr>
            <w:r>
              <w:t>21</w:t>
            </w:r>
          </w:p>
        </w:tc>
      </w:tr>
    </w:tbl>
    <w:p w14:paraId="08049309" w14:textId="264C1EDF" w:rsidR="00F37DA1" w:rsidRDefault="004E7609">
      <w:pPr>
        <w:pStyle w:val="Indicator"/>
        <w:ind w:left="993" w:hanging="567"/>
      </w:pPr>
      <w:r>
        <w:t>O usuário do PMC deve desenvolver o Plano de Ação seguindo o modelo fornecido no Anexo 2.</w:t>
      </w:r>
    </w:p>
    <w:p w14:paraId="4FC2ED49" w14:textId="54A20D6D" w:rsidR="00F37DA1" w:rsidRDefault="004E7609">
      <w:pPr>
        <w:pStyle w:val="Indicator"/>
        <w:ind w:left="993" w:hanging="567"/>
      </w:pPr>
      <w:r>
        <w:t>Se o usuário do PMC desenvolveu uma autoavaliação inicial, seus resultados devem ser usados como entrada para o desenvolvimento do Plano de Ação.</w:t>
      </w:r>
    </w:p>
    <w:p w14:paraId="152772C8" w14:textId="3DAF2429" w:rsidR="00F37DA1" w:rsidRDefault="004E7609">
      <w:pPr>
        <w:pStyle w:val="Indicator"/>
        <w:ind w:left="993" w:hanging="567"/>
      </w:pPr>
      <w:r>
        <w:t>No Plano de Ação, o usuário do PMC deve definir quais critérios do padrão FSC aplicável devem ser implementados em que ano, aplicando as seguintes regras:</w:t>
      </w:r>
    </w:p>
    <w:p w14:paraId="216B66B1" w14:textId="4FBE8153" w:rsidR="00F37DA1" w:rsidRDefault="004E7609">
      <w:pPr>
        <w:pStyle w:val="P68B1DB1-Prrafodelista11"/>
        <w:numPr>
          <w:ilvl w:val="2"/>
          <w:numId w:val="2"/>
        </w:numPr>
        <w:tabs>
          <w:tab w:val="left" w:pos="6804"/>
        </w:tabs>
        <w:spacing w:before="120" w:after="120"/>
        <w:ind w:left="1418" w:hanging="425"/>
        <w:contextualSpacing w:val="0"/>
        <w:jc w:val="both"/>
      </w:pPr>
      <w:r>
        <w:t>A conformidade com o</w:t>
      </w:r>
      <w:r w:rsidR="00401090">
        <w:t>s</w:t>
      </w:r>
      <w:r>
        <w:t xml:space="preserve"> </w:t>
      </w:r>
      <w:r w:rsidR="00401090">
        <w:t xml:space="preserve">CC </w:t>
      </w:r>
      <w:r>
        <w:t>deve ser demonstrada na avaliação principal.</w:t>
      </w:r>
    </w:p>
    <w:p w14:paraId="539AC621" w14:textId="5B32DB55" w:rsidR="00F37DA1" w:rsidRDefault="004E7609">
      <w:pPr>
        <w:pStyle w:val="P68B1DB1-Prrafodelista11"/>
        <w:numPr>
          <w:ilvl w:val="2"/>
          <w:numId w:val="2"/>
        </w:numPr>
        <w:tabs>
          <w:tab w:val="left" w:pos="6804"/>
        </w:tabs>
        <w:spacing w:before="120" w:after="120"/>
        <w:ind w:left="1418" w:hanging="425"/>
        <w:contextualSpacing w:val="0"/>
        <w:jc w:val="both"/>
      </w:pPr>
      <w:r>
        <w:t>O usuário do PMC deve decidir o ano em que pretende implementar cada um dos CMC, aplicando as seguintes regras:</w:t>
      </w:r>
    </w:p>
    <w:p w14:paraId="15E4F6D3" w14:textId="369DFDB6" w:rsidR="00F37DA1" w:rsidRDefault="004E7609">
      <w:pPr>
        <w:pStyle w:val="P68B1DB1-Prrafodelista11"/>
        <w:numPr>
          <w:ilvl w:val="0"/>
          <w:numId w:val="17"/>
        </w:numPr>
        <w:tabs>
          <w:tab w:val="left" w:pos="6804"/>
        </w:tabs>
        <w:spacing w:before="120" w:after="120"/>
        <w:ind w:left="1701" w:hanging="142"/>
        <w:contextualSpacing w:val="0"/>
        <w:jc w:val="both"/>
      </w:pPr>
      <w:r>
        <w:t>50% do</w:t>
      </w:r>
      <w:r w:rsidR="00401090">
        <w:t>s</w:t>
      </w:r>
      <w:r>
        <w:t xml:space="preserve"> CMC </w:t>
      </w:r>
      <w:r w:rsidR="00401090">
        <w:t xml:space="preserve">deve ser </w:t>
      </w:r>
      <w:r>
        <w:t>implementado do ano um (1) ao ano três (3); os 50% restantes do</w:t>
      </w:r>
      <w:r w:rsidR="00401090">
        <w:t>s</w:t>
      </w:r>
      <w:r>
        <w:t xml:space="preserve"> CMC </w:t>
      </w:r>
      <w:r w:rsidR="00401090">
        <w:t xml:space="preserve">devem ser </w:t>
      </w:r>
      <w:r>
        <w:t>implementados do ano quatro (4) ao ano cinco (5).</w:t>
      </w:r>
    </w:p>
    <w:p w14:paraId="5C749C85" w14:textId="1B7B11EF" w:rsidR="00F37DA1" w:rsidRDefault="004E7609">
      <w:pPr>
        <w:pStyle w:val="P68B1DB1-Prrafodelista11"/>
        <w:numPr>
          <w:ilvl w:val="0"/>
          <w:numId w:val="17"/>
        </w:numPr>
        <w:tabs>
          <w:tab w:val="left" w:pos="6804"/>
        </w:tabs>
        <w:spacing w:before="120" w:after="120"/>
        <w:ind w:left="1701" w:hanging="142"/>
        <w:contextualSpacing w:val="0"/>
        <w:jc w:val="both"/>
      </w:pPr>
      <w:r>
        <w:t>Todo o</w:t>
      </w:r>
      <w:r w:rsidR="00401090">
        <w:t>s</w:t>
      </w:r>
      <w:r>
        <w:t xml:space="preserve"> CMC deve</w:t>
      </w:r>
      <w:r w:rsidR="00401090">
        <w:t>m</w:t>
      </w:r>
      <w:r>
        <w:t xml:space="preserve"> ser implementado</w:t>
      </w:r>
      <w:r w:rsidR="00401090">
        <w:t>s</w:t>
      </w:r>
      <w:r>
        <w:t xml:space="preserve"> antes da reavaliação de cada Unidade de Manejo. </w:t>
      </w:r>
    </w:p>
    <w:p w14:paraId="554EA70A" w14:textId="661B02E3" w:rsidR="00F37DA1" w:rsidRDefault="004E7609">
      <w:pPr>
        <w:pStyle w:val="P68B1DB1-Prrafodelista11"/>
        <w:numPr>
          <w:ilvl w:val="1"/>
          <w:numId w:val="2"/>
        </w:numPr>
        <w:ind w:left="1080" w:hanging="630"/>
      </w:pPr>
      <w:r>
        <w:lastRenderedPageBreak/>
        <w:t>Se o usuário do PMC, por qualquer motivo, não conseguir implementar todo</w:t>
      </w:r>
      <w:r w:rsidR="00401090">
        <w:t>s</w:t>
      </w:r>
      <w:r>
        <w:t xml:space="preserve"> o</w:t>
      </w:r>
      <w:r w:rsidR="00401090">
        <w:t>s</w:t>
      </w:r>
      <w:r>
        <w:t xml:space="preserve"> CMC planejado</w:t>
      </w:r>
      <w:r w:rsidR="00401090">
        <w:t>s</w:t>
      </w:r>
      <w:r>
        <w:t xml:space="preserve"> para um determinado ano, até dois (2) do</w:t>
      </w:r>
      <w:r w:rsidR="00401090">
        <w:t>s</w:t>
      </w:r>
      <w:r>
        <w:t xml:space="preserve"> CMC podem ser transferidos para o ano seguinte. A mudança está sujeita à aprovação do OC e deve ser comunicada com uma justificativa ao OC pelo menos trinta (30) dias antes da próxima avaliação de </w:t>
      </w:r>
      <w:r w:rsidR="003C1D25">
        <w:t>monitoramento</w:t>
      </w:r>
      <w:r>
        <w:t>. Se o OC não aprovar a mudança, os Critérios devem ser implementados conforme planejado no Plano de Ação.</w:t>
      </w:r>
    </w:p>
    <w:p w14:paraId="42B41E20" w14:textId="41EEFC8B" w:rsidR="00F37DA1" w:rsidRDefault="004E7609">
      <w:pPr>
        <w:pStyle w:val="Indicator"/>
        <w:ind w:left="993" w:hanging="567"/>
      </w:pPr>
      <w:r>
        <w:t>O usuário do PMC deve decidir o ano em que pretende implementar cada um dos CMC, aplicando as seguintes regras:</w:t>
      </w:r>
    </w:p>
    <w:p w14:paraId="3D82657B" w14:textId="467D6FF6" w:rsidR="00F37DA1" w:rsidRDefault="004E7609">
      <w:pPr>
        <w:pStyle w:val="P68B1DB1-Prrafodelista11"/>
        <w:numPr>
          <w:ilvl w:val="0"/>
          <w:numId w:val="24"/>
        </w:numPr>
        <w:tabs>
          <w:tab w:val="left" w:pos="6804"/>
        </w:tabs>
        <w:spacing w:before="120" w:after="120"/>
        <w:ind w:left="1701" w:hanging="141"/>
        <w:contextualSpacing w:val="0"/>
        <w:jc w:val="both"/>
      </w:pPr>
      <w:r>
        <w:t xml:space="preserve">O usuário do PMC deve definir o que constitui atividades </w:t>
      </w:r>
      <w:r w:rsidR="003C1D25">
        <w:t>de perturbação d</w:t>
      </w:r>
      <w:r>
        <w:t xml:space="preserve">o local dentro de sua Unidade de Manejo com uma justificativa. As atividades de </w:t>
      </w:r>
      <w:r w:rsidR="003C1D25">
        <w:t>perturbação d</w:t>
      </w:r>
      <w:r>
        <w:t>o local identificadas estão sujeitas à aprovação do OC durante a avaliação principal.</w:t>
      </w:r>
    </w:p>
    <w:p w14:paraId="684F7978" w14:textId="0975CDBC" w:rsidR="00F37DA1" w:rsidRDefault="004E7609">
      <w:pPr>
        <w:pStyle w:val="P68B1DB1-Prrafodelista11"/>
        <w:numPr>
          <w:ilvl w:val="0"/>
          <w:numId w:val="24"/>
        </w:numPr>
        <w:tabs>
          <w:tab w:val="left" w:pos="6804"/>
        </w:tabs>
        <w:spacing w:before="120" w:after="120"/>
        <w:ind w:left="1701" w:hanging="141"/>
        <w:contextualSpacing w:val="0"/>
        <w:jc w:val="both"/>
      </w:pPr>
      <w:r>
        <w:t xml:space="preserve">O usuário do PMC deve definir em que ano pretende conduzir as atividades </w:t>
      </w:r>
      <w:r w:rsidR="003C1D25">
        <w:t>de perturbação d</w:t>
      </w:r>
      <w:r>
        <w:t xml:space="preserve">o local. As atividades </w:t>
      </w:r>
      <w:r w:rsidR="003C1D25">
        <w:t>de perturbação d</w:t>
      </w:r>
      <w:r>
        <w:t>o local, o</w:t>
      </w:r>
      <w:r w:rsidR="003C1D25">
        <w:t>s</w:t>
      </w:r>
      <w:r>
        <w:t xml:space="preserve"> CCA correspondente</w:t>
      </w:r>
      <w:r w:rsidR="003C1D25">
        <w:t>s</w:t>
      </w:r>
      <w:r>
        <w:t xml:space="preserve"> e quando o</w:t>
      </w:r>
      <w:r w:rsidR="003C1D25">
        <w:t>s</w:t>
      </w:r>
      <w:r>
        <w:t xml:space="preserve"> CCA </w:t>
      </w:r>
      <w:r w:rsidR="003C1D25">
        <w:t xml:space="preserve">serão </w:t>
      </w:r>
      <w:r>
        <w:t>implementado</w:t>
      </w:r>
      <w:r w:rsidR="003C1D25">
        <w:t>s</w:t>
      </w:r>
      <w:r>
        <w:t xml:space="preserve"> devem ser incluídos no Plano de Ação aprovado.</w:t>
      </w:r>
    </w:p>
    <w:p w14:paraId="4ABF331E" w14:textId="076268E3" w:rsidR="00F37DA1" w:rsidRDefault="004E7609">
      <w:pPr>
        <w:pStyle w:val="P68B1DB1-Prrafodelista11"/>
        <w:numPr>
          <w:ilvl w:val="0"/>
          <w:numId w:val="24"/>
        </w:numPr>
        <w:tabs>
          <w:tab w:val="left" w:pos="6804"/>
        </w:tabs>
        <w:spacing w:before="120" w:after="120"/>
        <w:ind w:left="1701" w:hanging="142"/>
        <w:contextualSpacing w:val="0"/>
        <w:jc w:val="both"/>
      </w:pPr>
      <w:r>
        <w:t xml:space="preserve">Cada CCA deve ser implementado antes de conduzir qualquer atividade </w:t>
      </w:r>
      <w:r w:rsidR="003C1D25">
        <w:t>de perturbação</w:t>
      </w:r>
      <w:r>
        <w:t xml:space="preserve"> </w:t>
      </w:r>
      <w:r w:rsidR="003C1D25">
        <w:t>d</w:t>
      </w:r>
      <w:r>
        <w:t>o local.</w:t>
      </w:r>
    </w:p>
    <w:p w14:paraId="279E1BCE" w14:textId="655E79CB" w:rsidR="00F37DA1" w:rsidRDefault="004E7609">
      <w:pPr>
        <w:pStyle w:val="Indicator"/>
        <w:ind w:left="990" w:hanging="540"/>
      </w:pPr>
      <w:r>
        <w:t xml:space="preserve">Se forem necessárias quaisquer alterações no planejamento e execução das atividades de perturbação do local e seu CCA correspondente, o usuário do PMC deve atualizar o Plano de Ação e comunicar as alterações ao OC, pelo menos trinta (30) dias antes da próxima avaliação de </w:t>
      </w:r>
      <w:r w:rsidR="003C1D25">
        <w:t>monitoramento</w:t>
      </w:r>
      <w:r>
        <w:t>.</w:t>
      </w:r>
    </w:p>
    <w:p w14:paraId="717EF2AB" w14:textId="562B52C1" w:rsidR="00F37DA1" w:rsidRDefault="004E7609">
      <w:pPr>
        <w:pStyle w:val="P68B1DB1-Prrafodelista11"/>
        <w:numPr>
          <w:ilvl w:val="1"/>
          <w:numId w:val="2"/>
        </w:numPr>
        <w:spacing w:before="120" w:after="120"/>
        <w:ind w:left="990" w:hanging="564"/>
        <w:contextualSpacing w:val="0"/>
      </w:pPr>
      <w:r>
        <w:t xml:space="preserve">Quando nenhuma atividade </w:t>
      </w:r>
      <w:r w:rsidR="003C1D25">
        <w:t xml:space="preserve">de perturbação </w:t>
      </w:r>
      <w:r>
        <w:t xml:space="preserve">do local for realizada durante o primeiro ciclo de certificação de cada Unidade de Manejo, o usuário do PMC pode escolher livremente em que ano cada um dos CCA será implementado e </w:t>
      </w:r>
      <w:proofErr w:type="spellStart"/>
      <w:r>
        <w:t>deve</w:t>
      </w:r>
      <w:proofErr w:type="spellEnd"/>
      <w:r>
        <w:t xml:space="preserve"> introduzir este planejamento no Plano de Ação.</w:t>
      </w:r>
    </w:p>
    <w:p w14:paraId="72998E6B" w14:textId="540DC50C" w:rsidR="00F37DA1" w:rsidRDefault="004E7609">
      <w:pPr>
        <w:pStyle w:val="P68B1DB1-Prrafodelista11"/>
        <w:numPr>
          <w:ilvl w:val="1"/>
          <w:numId w:val="2"/>
        </w:numPr>
        <w:spacing w:before="120" w:after="120"/>
        <w:ind w:left="990" w:hanging="612"/>
        <w:contextualSpacing w:val="0"/>
      </w:pPr>
      <w:r>
        <w:t>Todo</w:t>
      </w:r>
      <w:r w:rsidR="003C1D25">
        <w:t>s</w:t>
      </w:r>
      <w:r>
        <w:t xml:space="preserve"> o</w:t>
      </w:r>
      <w:r w:rsidR="003C1D25">
        <w:t>s</w:t>
      </w:r>
      <w:r>
        <w:t xml:space="preserve"> CCA deve</w:t>
      </w:r>
      <w:r w:rsidR="003C1D25">
        <w:t>m</w:t>
      </w:r>
      <w:r>
        <w:t xml:space="preserve"> ser implementado</w:t>
      </w:r>
      <w:r w:rsidR="003C1D25">
        <w:t>s</w:t>
      </w:r>
      <w:r>
        <w:t xml:space="preserve"> antes da reavaliação de cada Unidade de Manejo.</w:t>
      </w:r>
    </w:p>
    <w:p w14:paraId="6E38415E" w14:textId="5E4A106F" w:rsidR="00F37DA1" w:rsidRDefault="004E7609">
      <w:pPr>
        <w:pStyle w:val="P68B1DB1-Normal13"/>
        <w:spacing w:before="120" w:after="120"/>
        <w:ind w:left="426"/>
        <w:rPr>
          <w:rFonts w:ascii="Arial" w:hAnsi="Arial" w:cs="Arial"/>
        </w:rPr>
      </w:pPr>
      <w:r>
        <w:rPr>
          <w:rFonts w:ascii="Arial Black" w:hAnsi="Arial Black" w:cs="Arial"/>
          <w:color w:val="285C4D"/>
        </w:rPr>
        <w:t>NOTA:</w:t>
      </w:r>
      <w:r>
        <w:rPr>
          <w:rFonts w:ascii="Arial" w:hAnsi="Arial" w:cs="Arial"/>
        </w:rPr>
        <w:t xml:space="preserve"> Durante o desenvolvimento do Plano de Ação, o usuário do PMC pode considerar que alguns Critérios não são aplicáveis à sua Unidade de Manejo. Por exemplo, quando não há Povos Indígenas na região, os Critérios do Princípio 3 provavelmente não são aplicáveis. O usuário do PMC pode sugerir a não aplicabilidade dos Critérios ao OC. A decisão final sobre a aplicabilidade dos Critérios cabe ao OC.</w:t>
      </w:r>
    </w:p>
    <w:p w14:paraId="6B1594DA" w14:textId="77777777" w:rsidR="00F37DA1" w:rsidRDefault="004E7609">
      <w:pPr>
        <w:pStyle w:val="Indicator"/>
        <w:ind w:left="993" w:hanging="567"/>
      </w:pPr>
      <w:r>
        <w:t>O usuário do PMC deve compartilhar o Plano de Ação com o OC pelo menos trinta (30) dias antes da avaliação principal.</w:t>
      </w:r>
    </w:p>
    <w:p w14:paraId="548723FF" w14:textId="77777777" w:rsidR="00F37DA1" w:rsidRDefault="00F37DA1">
      <w:pPr>
        <w:jc w:val="both"/>
        <w:rPr>
          <w:rFonts w:ascii="Arial" w:hAnsi="Arial" w:cs="Arial"/>
          <w:sz w:val="22"/>
        </w:rPr>
      </w:pPr>
      <w:bookmarkStart w:id="54" w:name="_Hlk74838038"/>
    </w:p>
    <w:p w14:paraId="5F7CD2DD" w14:textId="00205EAF" w:rsidR="00F37DA1" w:rsidRDefault="004E7609">
      <w:pPr>
        <w:pStyle w:val="P68B1DB1-Normal15"/>
        <w:pBdr>
          <w:top w:val="single" w:sz="18" w:space="1" w:color="78BE20"/>
          <w:left w:val="single" w:sz="18" w:space="4"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 xml:space="preserve">Caixa de </w:t>
      </w:r>
      <w:r w:rsidR="003C1D25">
        <w:t xml:space="preserve">informação </w:t>
      </w:r>
      <w:r>
        <w:t xml:space="preserve">2. Exemplos de atividades </w:t>
      </w:r>
      <w:r w:rsidR="003C1D25">
        <w:t>de perturbação d</w:t>
      </w:r>
      <w:r>
        <w:t>o local</w:t>
      </w:r>
    </w:p>
    <w:p w14:paraId="52B25155" w14:textId="61477EDA"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t>A implementação do</w:t>
      </w:r>
      <w:r w:rsidR="003C1D25">
        <w:t>s</w:t>
      </w:r>
      <w:r>
        <w:t xml:space="preserve"> CCA é obrigatória antes que as atividades de perturbação do local sejam conduzidas. O usuário do PMC terá que definir e fornecer uma justificativa do que constitui uma atividade </w:t>
      </w:r>
      <w:r w:rsidR="003C1D25">
        <w:t xml:space="preserve">de perturbação </w:t>
      </w:r>
      <w:r>
        <w:t xml:space="preserve">do local para sua Unidade de Manejo. Exemplos de atividades </w:t>
      </w:r>
      <w:r w:rsidR="003C1D25">
        <w:t>de perturbação</w:t>
      </w:r>
      <w:r>
        <w:t xml:space="preserve"> </w:t>
      </w:r>
      <w:r w:rsidR="003C1D25">
        <w:t>d</w:t>
      </w:r>
      <w:r>
        <w:t>o local são as seguintes:</w:t>
      </w:r>
    </w:p>
    <w:p w14:paraId="7162EB50" w14:textId="0F4D7E9D"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bookmarkStart w:id="55" w:name="_Hlk74682720"/>
      <w:bookmarkStart w:id="56" w:name="_Hlk74645772"/>
      <w:r>
        <w:sym w:font="Wingdings" w:char="F0E0"/>
      </w:r>
      <w:bookmarkEnd w:id="55"/>
      <w:r>
        <w:t xml:space="preserve">Colheita de madeira, madeira para energia e alguns produtos florestais não-madeireiros, incluindo métodos comerciais de corte/extração. </w:t>
      </w:r>
    </w:p>
    <w:p w14:paraId="64C6E9D6" w14:textId="47FE8B48"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No caso de produtos florestais não madeireiros, a colheita pode implicar um impacto negativo para a floresta dependendo do tipo de produto, ou apenas em anos específicos em que o produto é colhido;</w:t>
      </w:r>
    </w:p>
    <w:p w14:paraId="222BFEC6" w14:textId="0B321F1A"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Preparação do solo;</w:t>
      </w:r>
    </w:p>
    <w:p w14:paraId="4567BDFC" w14:textId="54FBC7C6"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Plantar ou semear;</w:t>
      </w:r>
    </w:p>
    <w:p w14:paraId="35F6FB54" w14:textId="0EDA48F1"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 xml:space="preserve">Gestão de </w:t>
      </w:r>
      <w:r w:rsidR="003C1D25">
        <w:t>talhões</w:t>
      </w:r>
      <w:r>
        <w:t>; fertilização; desbaste; poda; gerenciamento de combustível; uso de pesticidas químicos;</w:t>
      </w:r>
    </w:p>
    <w:p w14:paraId="01CAD9B5" w14:textId="38F7B6FC"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Atividades de remediação pós-colheita.</w:t>
      </w:r>
    </w:p>
    <w:p w14:paraId="1A4DF41E" w14:textId="17CA3F14"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lastRenderedPageBreak/>
        <w:sym w:font="Wingdings" w:char="F0E0"/>
      </w:r>
      <w:r>
        <w:t xml:space="preserve">Desenvolvimento de infraestrutura (por exemplo, construção de estradas florestais ou desativação de estradas (fechamento); </w:t>
      </w:r>
    </w:p>
    <w:p w14:paraId="1DE71D0C" w14:textId="47999D87"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t>.</w:t>
      </w:r>
    </w:p>
    <w:bookmarkEnd w:id="54"/>
    <w:bookmarkEnd w:id="56"/>
    <w:p w14:paraId="553EDEF3" w14:textId="77777777" w:rsidR="00F37DA1" w:rsidRDefault="00F37DA1">
      <w:pPr>
        <w:tabs>
          <w:tab w:val="left" w:pos="6804"/>
        </w:tabs>
        <w:spacing w:before="120" w:after="120"/>
        <w:jc w:val="both"/>
        <w:rPr>
          <w:rFonts w:ascii="Arial" w:hAnsi="Arial" w:cs="Arial"/>
          <w:sz w:val="22"/>
        </w:rPr>
      </w:pPr>
    </w:p>
    <w:p w14:paraId="2A2196A1" w14:textId="6D99A353" w:rsidR="00F37DA1" w:rsidRDefault="004E7609">
      <w:pPr>
        <w:pStyle w:val="Ttulo2"/>
        <w:numPr>
          <w:ilvl w:val="0"/>
          <w:numId w:val="2"/>
        </w:numPr>
        <w:ind w:left="426" w:hanging="426"/>
      </w:pPr>
      <w:bookmarkStart w:id="57" w:name="_Toc74945879"/>
      <w:bookmarkStart w:id="58" w:name="_Toc76736528"/>
      <w:r>
        <w:t>Avaliação principal</w:t>
      </w:r>
      <w:bookmarkEnd w:id="57"/>
      <w:bookmarkEnd w:id="58"/>
    </w:p>
    <w:p w14:paraId="3A1B9034" w14:textId="4F0DA5AB" w:rsidR="00F37DA1" w:rsidRDefault="004E7609">
      <w:pPr>
        <w:pStyle w:val="Indicator"/>
        <w:ind w:left="992" w:hanging="567"/>
      </w:pPr>
      <w:r>
        <w:t>O usuário do PMC deve passar por uma avaliação principal por um OC para obter a certificação de manejo florestal do FSC.</w:t>
      </w:r>
    </w:p>
    <w:p w14:paraId="24C223A9" w14:textId="222C05FC" w:rsidR="00F37DA1" w:rsidRDefault="004E7609">
      <w:pPr>
        <w:pStyle w:val="P68B1DB1-Normal13"/>
        <w:spacing w:before="120" w:after="120"/>
        <w:ind w:left="992"/>
      </w:pPr>
      <w:r>
        <w:rPr>
          <w:rFonts w:ascii="Arial Black" w:hAnsi="Arial Black" w:cs="Arial"/>
          <w:color w:val="285C4D"/>
        </w:rPr>
        <w:t>NOTA:</w:t>
      </w:r>
      <w:r>
        <w:rPr>
          <w:rFonts w:ascii="Arial" w:hAnsi="Arial" w:cs="Arial"/>
        </w:rPr>
        <w:t xml:space="preserve"> Durante a avaliação principal, o OC verifica a conformidade com os </w:t>
      </w:r>
      <w:r w:rsidR="0046604B">
        <w:rPr>
          <w:rFonts w:ascii="Arial" w:hAnsi="Arial" w:cs="Arial"/>
        </w:rPr>
        <w:t>CC</w:t>
      </w:r>
      <w:r>
        <w:rPr>
          <w:rFonts w:ascii="Arial" w:hAnsi="Arial" w:cs="Arial"/>
        </w:rPr>
        <w:t xml:space="preserve">, a adequação do Plano de Ação desenvolvido pelo usuário do PMC e as atividades que a entidade do grupo classificou como </w:t>
      </w:r>
      <w:r w:rsidR="00EE11F5">
        <w:rPr>
          <w:rFonts w:ascii="Arial" w:hAnsi="Arial" w:cs="Arial"/>
        </w:rPr>
        <w:t xml:space="preserve">de perturbação </w:t>
      </w:r>
      <w:r>
        <w:rPr>
          <w:rFonts w:ascii="Arial" w:hAnsi="Arial" w:cs="Arial"/>
        </w:rPr>
        <w:t>do local para suas Unidades de Manejo.</w:t>
      </w:r>
    </w:p>
    <w:p w14:paraId="07D7311A" w14:textId="0DEE60E7" w:rsidR="00F37DA1" w:rsidRDefault="004E7609">
      <w:pPr>
        <w:pStyle w:val="P68B1DB1-Normal13"/>
        <w:tabs>
          <w:tab w:val="left" w:pos="6804"/>
        </w:tabs>
        <w:spacing w:before="120" w:after="120"/>
        <w:ind w:left="992"/>
        <w:rPr>
          <w:rFonts w:ascii="Arial" w:hAnsi="Arial" w:cs="Arial"/>
        </w:rPr>
      </w:pPr>
      <w:r>
        <w:rPr>
          <w:rFonts w:ascii="Arial Black" w:hAnsi="Arial Black" w:cs="Arial"/>
          <w:color w:val="285C4D"/>
        </w:rPr>
        <w:t>NOTA:</w:t>
      </w:r>
      <w:r>
        <w:rPr>
          <w:rFonts w:ascii="Arial" w:hAnsi="Arial" w:cs="Arial"/>
        </w:rPr>
        <w:t xml:space="preserve"> Uma vez certificado, o usuário do PMC tem acesso total aos </w:t>
      </w:r>
      <w:r w:rsidR="00EE11F5">
        <w:rPr>
          <w:rFonts w:ascii="Arial" w:hAnsi="Arial" w:cs="Arial"/>
        </w:rPr>
        <w:t>selos</w:t>
      </w:r>
      <w:r>
        <w:rPr>
          <w:rFonts w:ascii="Arial" w:hAnsi="Arial" w:cs="Arial"/>
        </w:rPr>
        <w:t>, marcas registradas e opções de marketing como qualquer outra Organização que obteve a certificação de manejo florestal FSC.</w:t>
      </w:r>
    </w:p>
    <w:p w14:paraId="3FA9A640" w14:textId="727A335C" w:rsidR="00F37DA1" w:rsidRDefault="004E7609">
      <w:pPr>
        <w:pStyle w:val="Ttulo2"/>
        <w:numPr>
          <w:ilvl w:val="0"/>
          <w:numId w:val="2"/>
        </w:numPr>
        <w:ind w:left="426" w:hanging="426"/>
      </w:pPr>
      <w:bookmarkStart w:id="59" w:name="_Toc67668855"/>
      <w:bookmarkStart w:id="60" w:name="_Toc67668856"/>
      <w:bookmarkStart w:id="61" w:name="_Toc67668857"/>
      <w:bookmarkStart w:id="62" w:name="_Toc67668858"/>
      <w:bookmarkStart w:id="63" w:name="_Toc67668859"/>
      <w:bookmarkStart w:id="64" w:name="_Toc67668860"/>
      <w:bookmarkStart w:id="65" w:name="_Toc67668861"/>
      <w:bookmarkStart w:id="66" w:name="_Toc74945880"/>
      <w:bookmarkStart w:id="67" w:name="_Hlk67656906"/>
      <w:bookmarkStart w:id="68" w:name="_Toc76736529"/>
      <w:bookmarkEnd w:id="59"/>
      <w:bookmarkEnd w:id="60"/>
      <w:bookmarkEnd w:id="61"/>
      <w:bookmarkEnd w:id="62"/>
      <w:bookmarkEnd w:id="63"/>
      <w:bookmarkEnd w:id="64"/>
      <w:bookmarkEnd w:id="65"/>
      <w:r>
        <w:t>Automonitoramento</w:t>
      </w:r>
      <w:bookmarkEnd w:id="66"/>
      <w:bookmarkEnd w:id="68"/>
    </w:p>
    <w:p w14:paraId="7FB36FAF" w14:textId="74F98B3A" w:rsidR="00F37DA1" w:rsidRDefault="004E7609">
      <w:pPr>
        <w:pStyle w:val="Indicator"/>
        <w:ind w:left="993" w:hanging="567"/>
      </w:pPr>
      <w:bookmarkStart w:id="69" w:name="_Hlk63331441"/>
      <w:r>
        <w:t>O usuário do PMC deve implementar o automonitoramento nos anos dois (2) e quatro (4), respondendo às seguintes perguntas:</w:t>
      </w:r>
    </w:p>
    <w:p w14:paraId="113AEB77" w14:textId="0D0834EB" w:rsidR="00F37DA1" w:rsidRDefault="004E7609">
      <w:pPr>
        <w:pStyle w:val="P68B1DB1-Prrafodelista11"/>
        <w:numPr>
          <w:ilvl w:val="0"/>
          <w:numId w:val="21"/>
        </w:numPr>
        <w:spacing w:before="60" w:after="60"/>
        <w:ind w:left="1417" w:hanging="425"/>
        <w:contextualSpacing w:val="0"/>
      </w:pPr>
      <w:r>
        <w:t xml:space="preserve">Ocorreu alguma atividade </w:t>
      </w:r>
      <w:r w:rsidR="004D4CB5">
        <w:t xml:space="preserve">de perturbação </w:t>
      </w:r>
      <w:r>
        <w:t>do local desde a última avaliação do OC?</w:t>
      </w:r>
    </w:p>
    <w:p w14:paraId="5EA8BD0E" w14:textId="3C4BECBB" w:rsidR="00F37DA1" w:rsidRDefault="004E7609">
      <w:pPr>
        <w:pStyle w:val="P68B1DB1-Prrafodelista11"/>
        <w:numPr>
          <w:ilvl w:val="0"/>
          <w:numId w:val="21"/>
        </w:numPr>
        <w:spacing w:before="60" w:after="60"/>
        <w:ind w:left="1417" w:hanging="425"/>
        <w:contextualSpacing w:val="0"/>
      </w:pPr>
      <w:r>
        <w:t>O Plano de Ação está sendo implementado em tempo hábil?</w:t>
      </w:r>
    </w:p>
    <w:p w14:paraId="6593A713" w14:textId="0EE2DB4A" w:rsidR="00F37DA1" w:rsidRDefault="004E7609">
      <w:pPr>
        <w:pStyle w:val="P68B1DB1-Prrafodelista11"/>
        <w:numPr>
          <w:ilvl w:val="0"/>
          <w:numId w:val="21"/>
        </w:numPr>
        <w:spacing w:before="60" w:after="120"/>
        <w:ind w:left="1417" w:hanging="425"/>
        <w:contextualSpacing w:val="0"/>
      </w:pPr>
      <w:r>
        <w:t xml:space="preserve">Existem reclamações </w:t>
      </w:r>
      <w:r w:rsidR="004D4CB5">
        <w:t xml:space="preserve">de </w:t>
      </w:r>
      <w:r>
        <w:t>partes interessadas não resolvidas?</w:t>
      </w:r>
    </w:p>
    <w:p w14:paraId="401D86FC" w14:textId="0B2ED41B" w:rsidR="00F37DA1" w:rsidRDefault="004E7609">
      <w:pPr>
        <w:pStyle w:val="Indicator"/>
        <w:ind w:left="992" w:hanging="567"/>
      </w:pPr>
      <w:r>
        <w:t xml:space="preserve">O usuário do PMC deve enviar os resultados do automonitoramento, juntamente com as evidências de apoio, ao OC, pelo menos sessenta (60) dias antes da próxima avaliação de </w:t>
      </w:r>
      <w:r w:rsidR="00761B39">
        <w:t xml:space="preserve">monitoramento </w:t>
      </w:r>
      <w:r>
        <w:t xml:space="preserve">para </w:t>
      </w:r>
      <w:r w:rsidR="00761B39">
        <w:t>embasar a</w:t>
      </w:r>
      <w:r>
        <w:t xml:space="preserve"> decisão sobre o tipo de auditoria, se houver, para aquele ano.</w:t>
      </w:r>
    </w:p>
    <w:p w14:paraId="31FC12D5" w14:textId="2E2DF1C4" w:rsidR="00F37DA1" w:rsidRDefault="00F37DA1">
      <w:pPr>
        <w:tabs>
          <w:tab w:val="left" w:pos="6804"/>
        </w:tabs>
        <w:spacing w:before="120" w:after="120"/>
        <w:jc w:val="both"/>
        <w:rPr>
          <w:rFonts w:ascii="Arial" w:hAnsi="Arial" w:cs="Arial"/>
          <w:sz w:val="22"/>
        </w:rPr>
      </w:pPr>
    </w:p>
    <w:bookmarkEnd w:id="67"/>
    <w:p w14:paraId="593A8984" w14:textId="580A325E" w:rsidR="00F37DA1" w:rsidRDefault="004E7609">
      <w:pPr>
        <w:pStyle w:val="P68B1DB1-Normal15"/>
        <w:pBdr>
          <w:top w:val="single" w:sz="18" w:space="1" w:color="78BE20"/>
          <w:left w:val="single" w:sz="18" w:space="0" w:color="78BE20"/>
          <w:bottom w:val="single" w:sz="18" w:space="1" w:color="78BE20"/>
          <w:right w:val="single" w:sz="18" w:space="0" w:color="78BE20"/>
        </w:pBdr>
        <w:shd w:val="clear" w:color="auto" w:fill="FBFDF9"/>
        <w:tabs>
          <w:tab w:val="left" w:pos="6181"/>
        </w:tabs>
        <w:autoSpaceDE w:val="0"/>
        <w:autoSpaceDN w:val="0"/>
        <w:adjustRightInd w:val="0"/>
        <w:spacing w:before="120" w:after="120"/>
        <w:jc w:val="both"/>
      </w:pPr>
      <w:r>
        <w:t xml:space="preserve">Caixa de </w:t>
      </w:r>
      <w:r w:rsidR="00761B39">
        <w:t xml:space="preserve">informação </w:t>
      </w:r>
      <w:r>
        <w:t>3. Diferenças entre Autoavaliação inicial e Automonitoramento</w:t>
      </w:r>
    </w:p>
    <w:p w14:paraId="35BA7627" w14:textId="5306271E" w:rsidR="00F37DA1" w:rsidRDefault="004E7609">
      <w:pPr>
        <w:pStyle w:val="P68B1DB1-Normal16"/>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both"/>
      </w:pPr>
      <w:r>
        <w:t>A tabela a seguir especifica as diferenças entre a Autoavaliação inicial e o Automonitoramento:</w:t>
      </w:r>
    </w:p>
    <w:p w14:paraId="4D5390E8" w14:textId="1A3B2514" w:rsidR="00F37DA1" w:rsidRDefault="00DC4F78">
      <w:pPr>
        <w:pStyle w:val="P68B1DB1-Normal16"/>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center"/>
      </w:pPr>
      <w:r>
        <w:rPr>
          <w:noProof/>
        </w:rPr>
        <w:drawing>
          <wp:inline distT="0" distB="0" distL="0" distR="0" wp14:anchorId="33CF9326" wp14:editId="20DBF80B">
            <wp:extent cx="5837954" cy="282271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760" cy="2875805"/>
                    </a:xfrm>
                    <a:prstGeom prst="rect">
                      <a:avLst/>
                    </a:prstGeom>
                    <a:noFill/>
                  </pic:spPr>
                </pic:pic>
              </a:graphicData>
            </a:graphic>
          </wp:inline>
        </w:drawing>
      </w:r>
    </w:p>
    <w:p w14:paraId="58009024" w14:textId="77777777" w:rsidR="00F37DA1" w:rsidRDefault="00F37DA1">
      <w:pPr>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center"/>
        <w:rPr>
          <w:rFonts w:ascii="Arial" w:hAnsi="Arial" w:cs="Arial"/>
          <w:sz w:val="20"/>
        </w:rPr>
      </w:pPr>
    </w:p>
    <w:bookmarkEnd w:id="69"/>
    <w:p w14:paraId="588BEBAA" w14:textId="77777777" w:rsidR="00F37DA1" w:rsidRDefault="00F37DA1">
      <w:pPr>
        <w:tabs>
          <w:tab w:val="left" w:pos="6804"/>
        </w:tabs>
        <w:spacing w:before="120" w:after="120"/>
        <w:jc w:val="both"/>
        <w:rPr>
          <w:rFonts w:ascii="Arial" w:hAnsi="Arial" w:cs="Arial"/>
          <w:sz w:val="22"/>
        </w:rPr>
      </w:pPr>
    </w:p>
    <w:p w14:paraId="232C6736" w14:textId="3DEA1748" w:rsidR="00F37DA1" w:rsidRDefault="004E7609">
      <w:pPr>
        <w:pStyle w:val="Ttulo2"/>
        <w:numPr>
          <w:ilvl w:val="0"/>
          <w:numId w:val="2"/>
        </w:numPr>
        <w:ind w:left="426" w:hanging="426"/>
      </w:pPr>
      <w:bookmarkStart w:id="70" w:name="_Toc74945881"/>
      <w:bookmarkStart w:id="71" w:name="_Toc76736530"/>
      <w:r>
        <w:lastRenderedPageBreak/>
        <w:t>Aplicando o conceito de Melhoria Contínua em grupos de manejo florestal</w:t>
      </w:r>
      <w:bookmarkEnd w:id="70"/>
      <w:bookmarkEnd w:id="71"/>
    </w:p>
    <w:p w14:paraId="7DF8E6B0" w14:textId="691F1751" w:rsidR="00F37DA1" w:rsidRDefault="004E7609">
      <w:pPr>
        <w:pStyle w:val="Indicator"/>
        <w:ind w:left="993" w:hanging="567"/>
      </w:pPr>
      <w:r>
        <w:t xml:space="preserve">A entidade </w:t>
      </w:r>
      <w:r w:rsidR="00761B39">
        <w:t xml:space="preserve">de </w:t>
      </w:r>
      <w:r>
        <w:t>grupo deve desenvolver um Plano de Ação para todo o grupo de acordo com a Seção 2 deste procedimento.</w:t>
      </w:r>
    </w:p>
    <w:p w14:paraId="26354E9A" w14:textId="68CE5A96" w:rsidR="00F37DA1" w:rsidRDefault="004E7609">
      <w:pPr>
        <w:pStyle w:val="Indicator"/>
        <w:ind w:left="993" w:hanging="567"/>
      </w:pPr>
      <w:r>
        <w:t xml:space="preserve">A entidade do grupo deve estabelecer quais atividades são classificadas como </w:t>
      </w:r>
      <w:r w:rsidR="00761B39">
        <w:t xml:space="preserve">de perturbação </w:t>
      </w:r>
      <w:r>
        <w:t>do local nas Unidades de Manejo do grupo.</w:t>
      </w:r>
    </w:p>
    <w:p w14:paraId="2F8EEACA" w14:textId="4F76165E" w:rsidR="00F37DA1" w:rsidRDefault="004E7609">
      <w:pPr>
        <w:pStyle w:val="Indicator"/>
        <w:ind w:left="993" w:hanging="567"/>
      </w:pPr>
      <w:r>
        <w:t xml:space="preserve">A entidade do grupo deve implementar uma avaliação interna inicial de seus usuários do PMC para verificar a conformidade de suas unidades de manejo com todos os </w:t>
      </w:r>
      <w:r w:rsidR="009073D7">
        <w:t xml:space="preserve">CC </w:t>
      </w:r>
      <w:r>
        <w:t>e seu compromisso com a implementação do Plano de Ação.</w:t>
      </w:r>
    </w:p>
    <w:p w14:paraId="3405D8E6" w14:textId="0044E0E1" w:rsidR="00F37DA1" w:rsidRDefault="004E7609">
      <w:pPr>
        <w:pStyle w:val="Indicator"/>
        <w:ind w:left="993" w:hanging="567"/>
      </w:pPr>
      <w:r>
        <w:t xml:space="preserve">A entidade do grupo deve passar por uma avaliação principal de um OC para obter a certificação </w:t>
      </w:r>
      <w:r w:rsidR="00A85341">
        <w:t xml:space="preserve">FSC </w:t>
      </w:r>
      <w:r>
        <w:t>de manejo florestal do grupo.</w:t>
      </w:r>
    </w:p>
    <w:p w14:paraId="2B6D5564" w14:textId="0E47CEA8" w:rsidR="00F37DA1" w:rsidRDefault="004E7609">
      <w:pPr>
        <w:pStyle w:val="P68B1DB1-Prrafodelista27"/>
        <w:tabs>
          <w:tab w:val="left" w:pos="6804"/>
        </w:tabs>
        <w:spacing w:before="120" w:after="120"/>
        <w:ind w:left="993"/>
        <w:contextualSpacing w:val="0"/>
        <w:jc w:val="both"/>
        <w:rPr>
          <w:rFonts w:ascii="Arial" w:hAnsi="Arial" w:cs="Arial"/>
        </w:rPr>
      </w:pPr>
      <w:r>
        <w:rPr>
          <w:rFonts w:ascii="Arial Black" w:hAnsi="Arial Black" w:cs="Arial"/>
          <w:color w:val="285C4D"/>
        </w:rPr>
        <w:t>NOTA:</w:t>
      </w:r>
      <w:r>
        <w:rPr>
          <w:rFonts w:ascii="Arial" w:hAnsi="Arial" w:cs="Arial"/>
        </w:rPr>
        <w:t xml:space="preserve"> Durante a avaliação principal, o OC verifica a conformidade com os </w:t>
      </w:r>
      <w:r w:rsidR="00A85341">
        <w:rPr>
          <w:rFonts w:ascii="Arial" w:hAnsi="Arial" w:cs="Arial"/>
        </w:rPr>
        <w:t xml:space="preserve">CC </w:t>
      </w:r>
      <w:r>
        <w:rPr>
          <w:rFonts w:ascii="Arial" w:hAnsi="Arial" w:cs="Arial"/>
        </w:rPr>
        <w:t xml:space="preserve">nas Unidades de Manejo do grupo, a adequação do Plano de Ação desenvolvido pela entidade do grupo e as atividades que a entidade do grupo classificou como </w:t>
      </w:r>
      <w:r w:rsidR="00A85341">
        <w:rPr>
          <w:rFonts w:ascii="Arial" w:hAnsi="Arial" w:cs="Arial"/>
        </w:rPr>
        <w:t xml:space="preserve">de perturbação </w:t>
      </w:r>
      <w:r>
        <w:rPr>
          <w:rFonts w:ascii="Arial" w:hAnsi="Arial" w:cs="Arial"/>
        </w:rPr>
        <w:t>do local.</w:t>
      </w:r>
    </w:p>
    <w:p w14:paraId="4ABC39C7" w14:textId="01ADDC18" w:rsidR="00F37DA1" w:rsidRDefault="004E7609">
      <w:pPr>
        <w:pStyle w:val="Indicator"/>
        <w:ind w:left="993" w:hanging="567"/>
      </w:pPr>
      <w:r>
        <w:t>A entidade do grupo deve definir como o PMC deve ser operado em seu grupo, usando as seguintes opções:</w:t>
      </w:r>
    </w:p>
    <w:p w14:paraId="146E5147" w14:textId="6C0B9E5F" w:rsidR="00F37DA1" w:rsidRDefault="004E7609">
      <w:pPr>
        <w:pStyle w:val="P68B1DB1-Prrafodelista11"/>
        <w:numPr>
          <w:ilvl w:val="2"/>
          <w:numId w:val="2"/>
        </w:numPr>
        <w:tabs>
          <w:tab w:val="left" w:pos="6804"/>
        </w:tabs>
        <w:spacing w:before="120" w:after="120"/>
        <w:ind w:left="1530" w:hanging="270"/>
        <w:contextualSpacing w:val="0"/>
        <w:jc w:val="both"/>
      </w:pPr>
      <w:r>
        <w:t>Novas Unidades de Manejo só podem ser adicionadas ao grupo a cada 5 anos quando um novo ciclo de certificação começa, e todos os novos membros começarão no ano zero (0) da implementação do Plano de Ação. OU</w:t>
      </w:r>
    </w:p>
    <w:p w14:paraId="1DF5A890" w14:textId="3A7EB08D" w:rsidR="00F37DA1" w:rsidRDefault="004E7609">
      <w:pPr>
        <w:pStyle w:val="P68B1DB1-Prrafodelista11"/>
        <w:numPr>
          <w:ilvl w:val="2"/>
          <w:numId w:val="2"/>
        </w:numPr>
        <w:tabs>
          <w:tab w:val="left" w:pos="6804"/>
        </w:tabs>
        <w:spacing w:before="120" w:after="120"/>
        <w:ind w:left="1530" w:hanging="270"/>
        <w:contextualSpacing w:val="0"/>
        <w:jc w:val="both"/>
      </w:pPr>
      <w:r>
        <w:t>Novas Unidades de Manejo podem ingressar no grupo em qualquer ano do ciclo de certificação. Neste caso, uma ou ambas as opções a seguir podem ser implementadas:</w:t>
      </w:r>
    </w:p>
    <w:p w14:paraId="4936FCDD" w14:textId="5322F71C" w:rsidR="00F37DA1" w:rsidRDefault="004E7609">
      <w:pPr>
        <w:pStyle w:val="P68B1DB1-Normal6"/>
        <w:numPr>
          <w:ilvl w:val="2"/>
          <w:numId w:val="17"/>
        </w:numPr>
        <w:tabs>
          <w:tab w:val="left" w:pos="6804"/>
        </w:tabs>
        <w:spacing w:before="120" w:after="120"/>
        <w:jc w:val="both"/>
      </w:pPr>
      <w:r>
        <w:t>A entidade do grupo deve formar um subgrupo e todos os seus membros começam no ano zero (0) de implementação do Plano de Ação.</w:t>
      </w:r>
    </w:p>
    <w:p w14:paraId="569D468D" w14:textId="435D8C9F" w:rsidR="00F37DA1" w:rsidRDefault="004E7609">
      <w:pPr>
        <w:pStyle w:val="P68B1DB1-Normal6"/>
        <w:numPr>
          <w:ilvl w:val="2"/>
          <w:numId w:val="17"/>
        </w:numPr>
        <w:tabs>
          <w:tab w:val="left" w:pos="6804"/>
        </w:tabs>
        <w:spacing w:before="120" w:after="120"/>
        <w:jc w:val="both"/>
      </w:pPr>
      <w:r>
        <w:t>Novas Unidades de Manejo podem ingressar em um grupo ou subgrupo em um ano diferente do ano zero (0) da implementação do Plano de Ação. Neste caso, a entidade do grupo deve verificar se o requerente cumpre todos os requisitos correspondentes ao ano de Implementação do Plano de Ação em que o requerente irá ingressar no grupo ou subgrupo.</w:t>
      </w:r>
    </w:p>
    <w:p w14:paraId="5FD82DF2" w14:textId="05DF361E" w:rsidR="00F37DA1" w:rsidRDefault="004E7609">
      <w:pPr>
        <w:pStyle w:val="P68B1DB1-Prrafodelista27"/>
        <w:numPr>
          <w:ilvl w:val="1"/>
          <w:numId w:val="2"/>
        </w:numPr>
        <w:tabs>
          <w:tab w:val="left" w:pos="6804"/>
        </w:tabs>
        <w:spacing w:before="120" w:after="120"/>
        <w:ind w:left="993" w:hanging="567"/>
        <w:contextualSpacing w:val="0"/>
        <w:jc w:val="both"/>
        <w:rPr>
          <w:rFonts w:ascii="Arial" w:hAnsi="Arial" w:cs="Arial"/>
        </w:rPr>
      </w:pPr>
      <w:r>
        <w:rPr>
          <w:rFonts w:ascii="Arial" w:hAnsi="Arial" w:cs="Arial"/>
        </w:rPr>
        <w:t>A entidade do grupo deve ter capacidade e recursos suficientes para gerir as opções de aplicação deste procedimento que escolhe</w:t>
      </w:r>
      <w:r w:rsidR="003006EB">
        <w:rPr>
          <w:rFonts w:ascii="Arial" w:hAnsi="Arial" w:cs="Arial"/>
        </w:rPr>
        <w:t>r</w:t>
      </w:r>
      <w:r>
        <w:rPr>
          <w:rFonts w:ascii="Arial" w:hAnsi="Arial" w:cs="Arial"/>
        </w:rPr>
        <w:t xml:space="preserve"> para o seu grupo.</w:t>
      </w:r>
      <w:r>
        <w:rPr>
          <w:rFonts w:ascii="Arial Black" w:hAnsi="Arial Black" w:cs="Arial"/>
          <w:color w:val="285C4D"/>
        </w:rPr>
        <w:t xml:space="preserve"> </w:t>
      </w:r>
    </w:p>
    <w:p w14:paraId="5F8494D9" w14:textId="303B4847" w:rsidR="00F37DA1" w:rsidRDefault="004E7609">
      <w:pPr>
        <w:pStyle w:val="P68B1DB1-Prrafodelista27"/>
        <w:tabs>
          <w:tab w:val="left" w:pos="6804"/>
        </w:tabs>
        <w:spacing w:before="120" w:after="120"/>
        <w:ind w:left="993"/>
        <w:contextualSpacing w:val="0"/>
        <w:jc w:val="both"/>
        <w:rPr>
          <w:rFonts w:ascii="Arial" w:hAnsi="Arial" w:cs="Arial"/>
        </w:rPr>
      </w:pPr>
      <w:r>
        <w:rPr>
          <w:rFonts w:ascii="Arial Black" w:hAnsi="Arial Black" w:cs="Arial"/>
          <w:color w:val="285C4D"/>
        </w:rPr>
        <w:t xml:space="preserve">NOTA: </w:t>
      </w:r>
      <w:r>
        <w:rPr>
          <w:rFonts w:ascii="Arial" w:hAnsi="Arial" w:cs="Arial"/>
        </w:rPr>
        <w:t>É altamente recomendável que um grupo não forme mais de um subgrupo durante um ciclo de certificação, pois isso pode aumentar o custo e a complexidade das auditorias.</w:t>
      </w:r>
    </w:p>
    <w:p w14:paraId="2C69B7ED" w14:textId="31C78721" w:rsidR="00F37DA1" w:rsidRDefault="00F37DA1">
      <w:pPr>
        <w:pStyle w:val="PargrafodaLista"/>
        <w:tabs>
          <w:tab w:val="left" w:pos="6804"/>
        </w:tabs>
        <w:spacing w:before="120" w:after="120"/>
        <w:ind w:left="993"/>
        <w:contextualSpacing w:val="0"/>
        <w:jc w:val="both"/>
        <w:rPr>
          <w:rFonts w:ascii="Arial" w:hAnsi="Arial" w:cs="Arial"/>
          <w:sz w:val="22"/>
        </w:rPr>
      </w:pPr>
    </w:p>
    <w:p w14:paraId="4E97BB41" w14:textId="4202C31F" w:rsidR="008C55ED" w:rsidRDefault="008C55ED">
      <w:pPr>
        <w:pStyle w:val="PargrafodaLista"/>
        <w:tabs>
          <w:tab w:val="left" w:pos="6804"/>
        </w:tabs>
        <w:spacing w:before="120" w:after="120"/>
        <w:ind w:left="993"/>
        <w:contextualSpacing w:val="0"/>
        <w:jc w:val="both"/>
        <w:rPr>
          <w:rFonts w:ascii="Arial" w:hAnsi="Arial" w:cs="Arial"/>
          <w:sz w:val="22"/>
        </w:rPr>
      </w:pPr>
    </w:p>
    <w:p w14:paraId="7F0465FB" w14:textId="66C959B3" w:rsidR="008C55ED" w:rsidRDefault="008C55ED">
      <w:pPr>
        <w:pStyle w:val="PargrafodaLista"/>
        <w:tabs>
          <w:tab w:val="left" w:pos="6804"/>
        </w:tabs>
        <w:spacing w:before="120" w:after="120"/>
        <w:ind w:left="993"/>
        <w:contextualSpacing w:val="0"/>
        <w:jc w:val="both"/>
        <w:rPr>
          <w:rFonts w:ascii="Arial" w:hAnsi="Arial" w:cs="Arial"/>
          <w:sz w:val="22"/>
        </w:rPr>
      </w:pPr>
    </w:p>
    <w:p w14:paraId="55830A42" w14:textId="1F2D64D7" w:rsidR="008C55ED" w:rsidRDefault="008C55ED">
      <w:pPr>
        <w:pStyle w:val="PargrafodaLista"/>
        <w:tabs>
          <w:tab w:val="left" w:pos="6804"/>
        </w:tabs>
        <w:spacing w:before="120" w:after="120"/>
        <w:ind w:left="993"/>
        <w:contextualSpacing w:val="0"/>
        <w:jc w:val="both"/>
        <w:rPr>
          <w:rFonts w:ascii="Arial" w:hAnsi="Arial" w:cs="Arial"/>
          <w:sz w:val="22"/>
        </w:rPr>
      </w:pPr>
    </w:p>
    <w:p w14:paraId="2B823DEF" w14:textId="3E8ECBA5" w:rsidR="008C55ED" w:rsidRDefault="008C55ED">
      <w:pPr>
        <w:pStyle w:val="PargrafodaLista"/>
        <w:tabs>
          <w:tab w:val="left" w:pos="6804"/>
        </w:tabs>
        <w:spacing w:before="120" w:after="120"/>
        <w:ind w:left="993"/>
        <w:contextualSpacing w:val="0"/>
        <w:jc w:val="both"/>
        <w:rPr>
          <w:rFonts w:ascii="Arial" w:hAnsi="Arial" w:cs="Arial"/>
          <w:sz w:val="22"/>
        </w:rPr>
      </w:pPr>
    </w:p>
    <w:p w14:paraId="07276045" w14:textId="0CA4FD0E" w:rsidR="008C55ED" w:rsidRDefault="008C55ED">
      <w:pPr>
        <w:pStyle w:val="PargrafodaLista"/>
        <w:tabs>
          <w:tab w:val="left" w:pos="6804"/>
        </w:tabs>
        <w:spacing w:before="120" w:after="120"/>
        <w:ind w:left="993"/>
        <w:contextualSpacing w:val="0"/>
        <w:jc w:val="both"/>
        <w:rPr>
          <w:rFonts w:ascii="Arial" w:hAnsi="Arial" w:cs="Arial"/>
          <w:sz w:val="22"/>
        </w:rPr>
      </w:pPr>
    </w:p>
    <w:p w14:paraId="308CA83A" w14:textId="1F1E7E02" w:rsidR="008C55ED" w:rsidRDefault="008C55ED">
      <w:pPr>
        <w:pStyle w:val="PargrafodaLista"/>
        <w:tabs>
          <w:tab w:val="left" w:pos="6804"/>
        </w:tabs>
        <w:spacing w:before="120" w:after="120"/>
        <w:ind w:left="993"/>
        <w:contextualSpacing w:val="0"/>
        <w:jc w:val="both"/>
        <w:rPr>
          <w:rFonts w:ascii="Arial" w:hAnsi="Arial" w:cs="Arial"/>
          <w:sz w:val="22"/>
        </w:rPr>
      </w:pPr>
    </w:p>
    <w:p w14:paraId="6FD4CA65" w14:textId="51658352" w:rsidR="008C55ED" w:rsidRDefault="008C55ED">
      <w:pPr>
        <w:pStyle w:val="PargrafodaLista"/>
        <w:tabs>
          <w:tab w:val="left" w:pos="6804"/>
        </w:tabs>
        <w:spacing w:before="120" w:after="120"/>
        <w:ind w:left="993"/>
        <w:contextualSpacing w:val="0"/>
        <w:jc w:val="both"/>
        <w:rPr>
          <w:rFonts w:ascii="Arial" w:hAnsi="Arial" w:cs="Arial"/>
          <w:sz w:val="22"/>
        </w:rPr>
      </w:pPr>
    </w:p>
    <w:p w14:paraId="3E6BB9BB" w14:textId="45C105B6" w:rsidR="008C55ED" w:rsidRDefault="008C55ED">
      <w:pPr>
        <w:pStyle w:val="PargrafodaLista"/>
        <w:tabs>
          <w:tab w:val="left" w:pos="6804"/>
        </w:tabs>
        <w:spacing w:before="120" w:after="120"/>
        <w:ind w:left="993"/>
        <w:contextualSpacing w:val="0"/>
        <w:jc w:val="both"/>
        <w:rPr>
          <w:rFonts w:ascii="Arial" w:hAnsi="Arial" w:cs="Arial"/>
          <w:sz w:val="22"/>
        </w:rPr>
      </w:pPr>
    </w:p>
    <w:p w14:paraId="1904FB99" w14:textId="6F34E64F" w:rsidR="008C55ED" w:rsidRDefault="008C55ED">
      <w:pPr>
        <w:pStyle w:val="PargrafodaLista"/>
        <w:tabs>
          <w:tab w:val="left" w:pos="6804"/>
        </w:tabs>
        <w:spacing w:before="120" w:after="120"/>
        <w:ind w:left="993"/>
        <w:contextualSpacing w:val="0"/>
        <w:jc w:val="both"/>
        <w:rPr>
          <w:rFonts w:ascii="Arial" w:hAnsi="Arial" w:cs="Arial"/>
          <w:sz w:val="22"/>
        </w:rPr>
      </w:pPr>
    </w:p>
    <w:p w14:paraId="5B745AB6" w14:textId="19C8D541" w:rsidR="008C55ED" w:rsidRDefault="008C55ED">
      <w:pPr>
        <w:pStyle w:val="PargrafodaLista"/>
        <w:tabs>
          <w:tab w:val="left" w:pos="6804"/>
        </w:tabs>
        <w:spacing w:before="120" w:after="120"/>
        <w:ind w:left="993"/>
        <w:contextualSpacing w:val="0"/>
        <w:jc w:val="both"/>
        <w:rPr>
          <w:rFonts w:ascii="Arial" w:hAnsi="Arial" w:cs="Arial"/>
          <w:sz w:val="22"/>
        </w:rPr>
      </w:pPr>
    </w:p>
    <w:p w14:paraId="48A9EFFC" w14:textId="77777777" w:rsidR="008C55ED" w:rsidRDefault="008C55ED">
      <w:pPr>
        <w:pStyle w:val="PargrafodaLista"/>
        <w:tabs>
          <w:tab w:val="left" w:pos="6804"/>
        </w:tabs>
        <w:spacing w:before="120" w:after="120"/>
        <w:ind w:left="993"/>
        <w:contextualSpacing w:val="0"/>
        <w:jc w:val="both"/>
        <w:rPr>
          <w:rFonts w:ascii="Arial" w:hAnsi="Arial" w:cs="Arial"/>
          <w:sz w:val="22"/>
        </w:rPr>
      </w:pPr>
    </w:p>
    <w:p w14:paraId="74D83A9B" w14:textId="73CFC471" w:rsidR="00F37DA1" w:rsidRDefault="004E7609">
      <w:pPr>
        <w:pStyle w:val="P68B1DB1-Normal28"/>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b/>
          <w:sz w:val="20"/>
        </w:rPr>
      </w:pPr>
      <w:r>
        <w:rPr>
          <w:b/>
          <w:sz w:val="20"/>
        </w:rPr>
        <w:lastRenderedPageBreak/>
        <w:t xml:space="preserve">Caixa de </w:t>
      </w:r>
      <w:r w:rsidR="003006EB">
        <w:rPr>
          <w:b/>
          <w:sz w:val="20"/>
        </w:rPr>
        <w:t xml:space="preserve">informação </w:t>
      </w:r>
      <w:r>
        <w:rPr>
          <w:b/>
          <w:sz w:val="20"/>
        </w:rPr>
        <w:t>4. Diferentes maneiras em que um grupo pode operar o PMC</w:t>
      </w:r>
    </w:p>
    <w:p w14:paraId="1129B0DF" w14:textId="52A3B3A4"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1. Um novo grupo usa o PMC e permite que novos membros se juntem a cada 5 anos</w:t>
      </w:r>
    </w:p>
    <w:p w14:paraId="3EC34DC9" w14:textId="6D2F8A38" w:rsidR="00F37DA1" w:rsidRDefault="0042774D">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sz w:val="22"/>
        </w:rPr>
      </w:pPr>
      <w:r>
        <w:rPr>
          <w:noProof/>
        </w:rPr>
        <mc:AlternateContent>
          <mc:Choice Requires="wps">
            <w:drawing>
              <wp:anchor distT="0" distB="0" distL="114300" distR="114300" simplePos="0" relativeHeight="251657216" behindDoc="0" locked="0" layoutInCell="1" allowOverlap="1" wp14:anchorId="2264DE9B" wp14:editId="67FC9C36">
                <wp:simplePos x="0" y="0"/>
                <wp:positionH relativeFrom="column">
                  <wp:posOffset>4186055</wp:posOffset>
                </wp:positionH>
                <wp:positionV relativeFrom="paragraph">
                  <wp:posOffset>41404</wp:posOffset>
                </wp:positionV>
                <wp:extent cx="2011710" cy="2071370"/>
                <wp:effectExtent l="8255" t="0" r="0" b="0"/>
                <wp:wrapNone/>
                <wp:docPr id="43"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1710" cy="2071370"/>
                        </a:xfrm>
                        <a:prstGeom prst="roundRect">
                          <a:avLst>
                            <a:gd name="adj" fmla="val 13032"/>
                          </a:avLst>
                        </a:prstGeom>
                        <a:solidFill>
                          <a:sysClr val="window" lastClr="FFFFFF"/>
                        </a:solidFill>
                      </wps:spPr>
                      <wps:txbx>
                        <w:txbxContent>
                          <w:p w14:paraId="35DEB718" w14:textId="4E272F45" w:rsidR="005B50B0" w:rsidRDefault="005B50B0">
                            <w:pPr>
                              <w:pStyle w:val="P68B1DB1-Normal29"/>
                              <w:jc w:val="both"/>
                              <w:rPr>
                                <w:sz w:val="20"/>
                              </w:rPr>
                            </w:pPr>
                            <w:r>
                              <w:rPr>
                                <w:sz w:val="22"/>
                              </w:rPr>
                              <w:t xml:space="preserve">Um novo </w:t>
                            </w:r>
                            <w:r>
                              <w:rPr>
                                <w:sz w:val="20"/>
                              </w:rPr>
                              <w:t xml:space="preserve">grupo é certificado </w:t>
                            </w:r>
                            <w:r w:rsidR="003006EB">
                              <w:rPr>
                                <w:sz w:val="20"/>
                              </w:rPr>
                              <w:t xml:space="preserve">usando o </w:t>
                            </w:r>
                            <w:r>
                              <w:rPr>
                                <w:sz w:val="20"/>
                              </w:rPr>
                              <w:t xml:space="preserve">PMC e os membros começam no ano “0” do ciclo do Plano de Ação. </w:t>
                            </w:r>
                          </w:p>
                          <w:p w14:paraId="3F79F2A5" w14:textId="68E9FCD8" w:rsidR="005B50B0" w:rsidRDefault="005B50B0">
                            <w:pPr>
                              <w:pStyle w:val="P68B1DB1-Normal30"/>
                              <w:jc w:val="both"/>
                            </w:pPr>
                            <w:r>
                              <w:t>Após completar o ciclo de certificação de 5 anos, novos membros se juntam ao grupo e formam um subgrupo usando o PMC e começam novamente no ano "0" do ciclo do Plano de Ação.</w:t>
                            </w:r>
                          </w:p>
                          <w:p w14:paraId="445E8AF8" w14:textId="77777777" w:rsidR="005B50B0" w:rsidRDefault="005B50B0">
                            <w:pPr>
                              <w:rPr>
                                <w:rFonts w:ascii="Arial" w:eastAsiaTheme="majorEastAsia" w:hAnsi="Arial" w:cs="Arial"/>
                                <w:sz w:val="20"/>
                              </w:rPr>
                            </w:pPr>
                          </w:p>
                          <w:p w14:paraId="7A061C90" w14:textId="77777777" w:rsidR="005B50B0" w:rsidRDefault="005B50B0">
                            <w:pPr>
                              <w:rPr>
                                <w:rFonts w:ascii="Arial" w:eastAsiaTheme="majorEastAsia" w:hAnsi="Arial" w:cs="Arial"/>
                                <w:i/>
                                <w:sz w:val="22"/>
                              </w:rPr>
                            </w:pPr>
                          </w:p>
                          <w:p w14:paraId="5782C3A9" w14:textId="77777777" w:rsidR="005B50B0" w:rsidRDefault="005B50B0">
                            <w:pPr>
                              <w:rPr>
                                <w:rFonts w:ascii="Arial" w:eastAsiaTheme="majorEastAsia" w:hAnsi="Arial" w:cs="Arial"/>
                                <w:i/>
                                <w:sz w:val="22"/>
                              </w:rPr>
                            </w:pPr>
                          </w:p>
                          <w:p w14:paraId="4E991445" w14:textId="77777777" w:rsidR="005B50B0" w:rsidRDefault="005B50B0">
                            <w:pPr>
                              <w:rPr>
                                <w:rFonts w:ascii="Arial" w:eastAsiaTheme="majorEastAsia" w:hAnsi="Arial" w:cs="Arial"/>
                                <w:i/>
                                <w:sz w:val="22"/>
                              </w:rPr>
                            </w:pPr>
                          </w:p>
                          <w:p w14:paraId="61AB67CB" w14:textId="77777777" w:rsidR="005B50B0" w:rsidRDefault="005B50B0">
                            <w:pPr>
                              <w:rPr>
                                <w:rFonts w:asciiTheme="majorHAnsi" w:eastAsiaTheme="majorEastAsia" w:hAnsiTheme="majorHAnsi" w:cstheme="majorBidi"/>
                                <w:i/>
                                <w:sz w:val="28"/>
                              </w:rPr>
                            </w:pPr>
                          </w:p>
                          <w:p w14:paraId="07B9B097" w14:textId="77777777" w:rsidR="005B50B0" w:rsidRDefault="005B50B0">
                            <w:pPr>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64DE9B" id="Autoforma 2" o:spid="_x0000_s1028" style="position:absolute;left:0;text-align:left;margin-left:329.6pt;margin-top:3.25pt;width:158.4pt;height:163.1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" fillcolor="window" stroked="f">
                <v:textbox>
                  <w:txbxContent>
                    <w:p w14:paraId="35DEB718" w14:textId="4E272F45" w:rsidR="005B50B0" w:rsidRDefault="005B50B0">
                      <w:pPr>
                        <w:pStyle w:val="P68B1DB1-Normal29"/>
                        <w:jc w:val="both"/>
                        <w:rPr>
                          <w:sz w:val="20"/>
                        </w:rPr>
                      </w:pPr>
                      <w:r>
                        <w:rPr>
                          <w:sz w:val="22"/>
                        </w:rPr>
                        <w:t xml:space="preserve">Um novo </w:t>
                      </w:r>
                      <w:r>
                        <w:rPr>
                          <w:sz w:val="20"/>
                        </w:rPr>
                        <w:t xml:space="preserve">grupo é certificado </w:t>
                      </w:r>
                      <w:r w:rsidR="003006EB">
                        <w:rPr>
                          <w:sz w:val="20"/>
                        </w:rPr>
                        <w:t xml:space="preserve">usando o </w:t>
                      </w:r>
                      <w:r>
                        <w:rPr>
                          <w:sz w:val="20"/>
                        </w:rPr>
                        <w:t xml:space="preserve">PMC e os membros começam no ano “0” do ciclo do Plano de Ação. </w:t>
                      </w:r>
                    </w:p>
                    <w:p w14:paraId="3F79F2A5" w14:textId="68E9FCD8" w:rsidR="005B50B0" w:rsidRDefault="005B50B0">
                      <w:pPr>
                        <w:pStyle w:val="P68B1DB1-Normal30"/>
                        <w:jc w:val="both"/>
                      </w:pPr>
                      <w:r>
                        <w:t>Após completar o ciclo de certificação de 5 anos, novos membros se juntam ao grupo e formam um subgrupo usando o PMC e começam novamente no ano "0" do ciclo do Plano de Ação.</w:t>
                      </w:r>
                    </w:p>
                    <w:p w14:paraId="445E8AF8" w14:textId="77777777" w:rsidR="005B50B0" w:rsidRDefault="005B50B0">
                      <w:pPr>
                        <w:rPr>
                          <w:rFonts w:ascii="Arial" w:eastAsiaTheme="majorEastAsia" w:hAnsi="Arial" w:cs="Arial"/>
                          <w:sz w:val="20"/>
                        </w:rPr>
                      </w:pPr>
                    </w:p>
                    <w:p w14:paraId="7A061C90" w14:textId="77777777" w:rsidR="005B50B0" w:rsidRDefault="005B50B0">
                      <w:pPr>
                        <w:rPr>
                          <w:rFonts w:ascii="Arial" w:eastAsiaTheme="majorEastAsia" w:hAnsi="Arial" w:cs="Arial"/>
                          <w:i/>
                          <w:sz w:val="22"/>
                        </w:rPr>
                      </w:pPr>
                    </w:p>
                    <w:p w14:paraId="5782C3A9" w14:textId="77777777" w:rsidR="005B50B0" w:rsidRDefault="005B50B0">
                      <w:pPr>
                        <w:rPr>
                          <w:rFonts w:ascii="Arial" w:eastAsiaTheme="majorEastAsia" w:hAnsi="Arial" w:cs="Arial"/>
                          <w:i/>
                          <w:sz w:val="22"/>
                        </w:rPr>
                      </w:pPr>
                    </w:p>
                    <w:p w14:paraId="4E991445" w14:textId="77777777" w:rsidR="005B50B0" w:rsidRDefault="005B50B0">
                      <w:pPr>
                        <w:rPr>
                          <w:rFonts w:ascii="Arial" w:eastAsiaTheme="majorEastAsia" w:hAnsi="Arial" w:cs="Arial"/>
                          <w:i/>
                          <w:sz w:val="22"/>
                        </w:rPr>
                      </w:pPr>
                    </w:p>
                    <w:p w14:paraId="61AB67CB" w14:textId="77777777" w:rsidR="005B50B0" w:rsidRDefault="005B50B0">
                      <w:pPr>
                        <w:rPr>
                          <w:rFonts w:asciiTheme="majorHAnsi" w:eastAsiaTheme="majorEastAsia" w:hAnsiTheme="majorHAnsi" w:cstheme="majorBidi"/>
                          <w:i/>
                          <w:sz w:val="28"/>
                        </w:rPr>
                      </w:pPr>
                    </w:p>
                    <w:p w14:paraId="07B9B097" w14:textId="77777777" w:rsidR="005B50B0" w:rsidRDefault="005B50B0">
                      <w:pPr>
                        <w:rPr>
                          <w:rFonts w:asciiTheme="majorHAnsi" w:eastAsiaTheme="majorEastAsia" w:hAnsiTheme="majorHAnsi" w:cstheme="majorBidi"/>
                          <w:i/>
                          <w:sz w:val="28"/>
                        </w:rPr>
                      </w:pPr>
                    </w:p>
                  </w:txbxContent>
                </v:textbox>
              </v:roundrect>
            </w:pict>
          </mc:Fallback>
        </mc:AlternateContent>
      </w:r>
      <w:r w:rsidR="004E7609">
        <w:rPr>
          <w:noProof/>
        </w:rPr>
        <w:drawing>
          <wp:inline distT="0" distB="0" distL="0" distR="0" wp14:anchorId="1C866887" wp14:editId="0B3ED4E8">
            <wp:extent cx="3674110" cy="1729740"/>
            <wp:effectExtent l="152400" t="152400" r="364490" b="36576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9965" cy="1746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04A186" w14:textId="4B6CAE0C"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2: Um grupo certificado pelo FSC permite que um novo membro se junte e forme um subgrupo</w:t>
      </w:r>
    </w:p>
    <w:p w14:paraId="2A5D8D00" w14:textId="559B2EC9" w:rsidR="00F37DA1" w:rsidRDefault="004E7609">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rPr>
      </w:pPr>
      <w:r>
        <w:rPr>
          <w:rFonts w:ascii="Arial" w:hAnsi="Arial" w:cs="Arial"/>
          <w:b/>
          <w:noProof/>
          <w:sz w:val="22"/>
        </w:rPr>
        <mc:AlternateContent>
          <mc:Choice Requires="wps">
            <w:drawing>
              <wp:anchor distT="0" distB="0" distL="114300" distR="114300" simplePos="0" relativeHeight="251655168" behindDoc="0" locked="0" layoutInCell="1" allowOverlap="1" wp14:anchorId="1315BD0F" wp14:editId="30011C7A">
                <wp:simplePos x="0" y="0"/>
                <wp:positionH relativeFrom="column">
                  <wp:posOffset>3811614</wp:posOffset>
                </wp:positionH>
                <wp:positionV relativeFrom="paragraph">
                  <wp:posOffset>279643</wp:posOffset>
                </wp:positionV>
                <wp:extent cx="2647824" cy="2115820"/>
                <wp:effectExtent l="0" t="952" r="0" b="0"/>
                <wp:wrapNone/>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7824" cy="2115820"/>
                        </a:xfrm>
                        <a:prstGeom prst="roundRect">
                          <a:avLst>
                            <a:gd name="adj" fmla="val 13032"/>
                          </a:avLst>
                        </a:prstGeom>
                        <a:solidFill>
                          <a:schemeClr val="bg1"/>
                        </a:solidFill>
                      </wps:spPr>
                      <wps:txbx>
                        <w:txbxContent>
                          <w:p w14:paraId="2958E5D2" w14:textId="74D46C7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A2DD9B7" w14:textId="77777777" w:rsidR="005B50B0" w:rsidRDefault="005B50B0">
                            <w:pPr>
                              <w:jc w:val="both"/>
                              <w:rPr>
                                <w:rFonts w:ascii="Arial" w:eastAsiaTheme="majorEastAsia" w:hAnsi="Arial" w:cs="Arial"/>
                                <w:sz w:val="20"/>
                              </w:rPr>
                            </w:pPr>
                          </w:p>
                          <w:p w14:paraId="12006DDD" w14:textId="3E30B61B" w:rsidR="005B50B0" w:rsidRDefault="005B50B0">
                            <w:pPr>
                              <w:pStyle w:val="P68B1DB1-Normal30"/>
                              <w:jc w:val="both"/>
                            </w:pPr>
                            <w:r>
                              <w:t xml:space="preserve">Tome nota: Durante a auditoria principal do grupo no </w:t>
                            </w:r>
                            <w:r>
                              <w:rPr>
                                <w:color w:val="92D050"/>
                              </w:rPr>
                              <w:t>ano 5</w:t>
                            </w:r>
                            <w:r>
                              <w:t xml:space="preserve">, o subgrupo ainda terá uma supervisão anual. A partir do </w:t>
                            </w:r>
                            <w:r>
                              <w:rPr>
                                <w:color w:val="92D050"/>
                              </w:rPr>
                              <w:t xml:space="preserve">7º ano </w:t>
                            </w:r>
                            <w:r>
                              <w:t>do ciclo de certificação, todos os membros continuam usando o procedimento “normal” do FSC.</w:t>
                            </w:r>
                          </w:p>
                          <w:p w14:paraId="081BB005" w14:textId="77777777" w:rsidR="005B50B0" w:rsidRDefault="005B50B0">
                            <w:pPr>
                              <w:jc w:val="both"/>
                              <w:rPr>
                                <w:rFonts w:ascii="Arial" w:eastAsiaTheme="majorEastAsia" w:hAnsi="Arial" w:cs="Arial"/>
                                <w:i/>
                                <w:sz w:val="22"/>
                              </w:rPr>
                            </w:pPr>
                          </w:p>
                          <w:p w14:paraId="341A4975" w14:textId="6F80DCB3" w:rsidR="005B50B0" w:rsidRDefault="005B50B0">
                            <w:pPr>
                              <w:jc w:val="both"/>
                              <w:rPr>
                                <w:rFonts w:ascii="Arial" w:eastAsiaTheme="majorEastAsia" w:hAnsi="Arial" w:cs="Arial"/>
                                <w:i/>
                                <w:sz w:val="22"/>
                              </w:rPr>
                            </w:pPr>
                          </w:p>
                          <w:p w14:paraId="3D9FBF01" w14:textId="346F6C7F" w:rsidR="005B50B0" w:rsidRDefault="005B50B0">
                            <w:pPr>
                              <w:jc w:val="both"/>
                              <w:rPr>
                                <w:rFonts w:ascii="Arial" w:eastAsiaTheme="majorEastAsia" w:hAnsi="Arial" w:cs="Arial"/>
                                <w:i/>
                                <w:sz w:val="22"/>
                              </w:rPr>
                            </w:pPr>
                          </w:p>
                          <w:p w14:paraId="31A20387" w14:textId="2F6E1F25" w:rsidR="005B50B0" w:rsidRDefault="005B50B0">
                            <w:pPr>
                              <w:jc w:val="both"/>
                              <w:rPr>
                                <w:rFonts w:ascii="Arial" w:eastAsiaTheme="majorEastAsia" w:hAnsi="Arial" w:cs="Arial"/>
                                <w:i/>
                                <w:sz w:val="22"/>
                              </w:rPr>
                            </w:pPr>
                          </w:p>
                          <w:p w14:paraId="2EADA4C3" w14:textId="569689E8" w:rsidR="005B50B0" w:rsidRDefault="005B50B0">
                            <w:pPr>
                              <w:jc w:val="both"/>
                              <w:rPr>
                                <w:rFonts w:ascii="Arial" w:eastAsiaTheme="majorEastAsia" w:hAnsi="Arial" w:cs="Arial"/>
                                <w:i/>
                                <w:sz w:val="22"/>
                              </w:rPr>
                            </w:pPr>
                          </w:p>
                          <w:p w14:paraId="6835648B" w14:textId="635F0B79" w:rsidR="005B50B0" w:rsidRDefault="005B50B0">
                            <w:pPr>
                              <w:jc w:val="both"/>
                              <w:rPr>
                                <w:rFonts w:asciiTheme="majorHAnsi" w:eastAsiaTheme="majorEastAsia" w:hAnsiTheme="majorHAnsi" w:cstheme="majorBidi"/>
                                <w:i/>
                                <w:sz w:val="28"/>
                              </w:rPr>
                            </w:pPr>
                          </w:p>
                          <w:p w14:paraId="50481F23" w14:textId="77777777" w:rsidR="005B50B0" w:rsidRDefault="005B50B0">
                            <w:pPr>
                              <w:jc w:val="both"/>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15BD0F" id="_x0000_s1029" style="position:absolute;left:0;text-align:left;margin-left:300.15pt;margin-top:22pt;width:208.5pt;height:166.6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" fillcolor="white [3212]" stroked="f">
                <v:textbox>
                  <w:txbxContent>
                    <w:p w14:paraId="2958E5D2" w14:textId="74D46C7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A2DD9B7" w14:textId="77777777" w:rsidR="005B50B0" w:rsidRDefault="005B50B0">
                      <w:pPr>
                        <w:jc w:val="both"/>
                        <w:rPr>
                          <w:rFonts w:ascii="Arial" w:eastAsiaTheme="majorEastAsia" w:hAnsi="Arial" w:cs="Arial"/>
                          <w:sz w:val="20"/>
                        </w:rPr>
                      </w:pPr>
                    </w:p>
                    <w:p w14:paraId="12006DDD" w14:textId="3E30B61B" w:rsidR="005B50B0" w:rsidRDefault="005B50B0">
                      <w:pPr>
                        <w:pStyle w:val="P68B1DB1-Normal30"/>
                        <w:jc w:val="both"/>
                      </w:pPr>
                      <w:r>
                        <w:t xml:space="preserve">Tome nota: Durante a auditoria principal do grupo no </w:t>
                      </w:r>
                      <w:r>
                        <w:rPr>
                          <w:color w:val="92D050"/>
                        </w:rPr>
                        <w:t>ano 5</w:t>
                      </w:r>
                      <w:r>
                        <w:t xml:space="preserve">, o subgrupo ainda terá uma supervisão anual. A partir do </w:t>
                      </w:r>
                      <w:r>
                        <w:rPr>
                          <w:color w:val="92D050"/>
                        </w:rPr>
                        <w:t xml:space="preserve">7º ano </w:t>
                      </w:r>
                      <w:r>
                        <w:t>do ciclo de certificação, todos os membros continuam usando o procedimento “normal” do FSC.</w:t>
                      </w:r>
                    </w:p>
                    <w:p w14:paraId="081BB005" w14:textId="77777777" w:rsidR="005B50B0" w:rsidRDefault="005B50B0">
                      <w:pPr>
                        <w:jc w:val="both"/>
                        <w:rPr>
                          <w:rFonts w:ascii="Arial" w:eastAsiaTheme="majorEastAsia" w:hAnsi="Arial" w:cs="Arial"/>
                          <w:i/>
                          <w:sz w:val="22"/>
                        </w:rPr>
                      </w:pPr>
                    </w:p>
                    <w:p w14:paraId="341A4975" w14:textId="6F80DCB3" w:rsidR="005B50B0" w:rsidRDefault="005B50B0">
                      <w:pPr>
                        <w:jc w:val="both"/>
                        <w:rPr>
                          <w:rFonts w:ascii="Arial" w:eastAsiaTheme="majorEastAsia" w:hAnsi="Arial" w:cs="Arial"/>
                          <w:i/>
                          <w:sz w:val="22"/>
                        </w:rPr>
                      </w:pPr>
                    </w:p>
                    <w:p w14:paraId="3D9FBF01" w14:textId="346F6C7F" w:rsidR="005B50B0" w:rsidRDefault="005B50B0">
                      <w:pPr>
                        <w:jc w:val="both"/>
                        <w:rPr>
                          <w:rFonts w:ascii="Arial" w:eastAsiaTheme="majorEastAsia" w:hAnsi="Arial" w:cs="Arial"/>
                          <w:i/>
                          <w:sz w:val="22"/>
                        </w:rPr>
                      </w:pPr>
                    </w:p>
                    <w:p w14:paraId="31A20387" w14:textId="2F6E1F25" w:rsidR="005B50B0" w:rsidRDefault="005B50B0">
                      <w:pPr>
                        <w:jc w:val="both"/>
                        <w:rPr>
                          <w:rFonts w:ascii="Arial" w:eastAsiaTheme="majorEastAsia" w:hAnsi="Arial" w:cs="Arial"/>
                          <w:i/>
                          <w:sz w:val="22"/>
                        </w:rPr>
                      </w:pPr>
                    </w:p>
                    <w:p w14:paraId="2EADA4C3" w14:textId="569689E8" w:rsidR="005B50B0" w:rsidRDefault="005B50B0">
                      <w:pPr>
                        <w:jc w:val="both"/>
                        <w:rPr>
                          <w:rFonts w:ascii="Arial" w:eastAsiaTheme="majorEastAsia" w:hAnsi="Arial" w:cs="Arial"/>
                          <w:i/>
                          <w:sz w:val="22"/>
                        </w:rPr>
                      </w:pPr>
                    </w:p>
                    <w:p w14:paraId="6835648B" w14:textId="635F0B79" w:rsidR="005B50B0" w:rsidRDefault="005B50B0">
                      <w:pPr>
                        <w:jc w:val="both"/>
                        <w:rPr>
                          <w:rFonts w:asciiTheme="majorHAnsi" w:eastAsiaTheme="majorEastAsia" w:hAnsiTheme="majorHAnsi" w:cstheme="majorBidi"/>
                          <w:i/>
                          <w:sz w:val="28"/>
                        </w:rPr>
                      </w:pPr>
                    </w:p>
                    <w:p w14:paraId="50481F23" w14:textId="77777777" w:rsidR="005B50B0" w:rsidRDefault="005B50B0">
                      <w:pPr>
                        <w:jc w:val="both"/>
                        <w:rPr>
                          <w:rFonts w:asciiTheme="majorHAnsi" w:eastAsiaTheme="majorEastAsia" w:hAnsiTheme="majorHAnsi" w:cstheme="majorBidi"/>
                          <w:i/>
                          <w:sz w:val="28"/>
                        </w:rPr>
                      </w:pPr>
                    </w:p>
                  </w:txbxContent>
                </v:textbox>
              </v:roundrect>
            </w:pict>
          </mc:Fallback>
        </mc:AlternateContent>
      </w:r>
      <w:r>
        <w:rPr>
          <w:noProof/>
        </w:rPr>
        <w:drawing>
          <wp:inline distT="0" distB="0" distL="0" distR="0" wp14:anchorId="5681137C" wp14:editId="6A2CBE8C">
            <wp:extent cx="3644900" cy="1895730"/>
            <wp:effectExtent l="152400" t="152400" r="355600"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448" cy="19110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D5EBFA5" w14:textId="2C04EB1E"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rPr>
      </w:pPr>
    </w:p>
    <w:p w14:paraId="3C1B6FD9" w14:textId="34BE5FF7"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3. Novos membros ingressam no subgrupo do grupo certificado pelo FSC</w:t>
      </w:r>
    </w:p>
    <w:p w14:paraId="63C6189D" w14:textId="233AE58D" w:rsidR="00F37DA1" w:rsidRDefault="004E7609">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rPr>
      </w:pPr>
      <w:r>
        <w:rPr>
          <w:rFonts w:ascii="Arial" w:hAnsi="Arial" w:cs="Arial"/>
          <w:noProof/>
          <w:sz w:val="22"/>
        </w:rPr>
        <mc:AlternateContent>
          <mc:Choice Requires="wps">
            <w:drawing>
              <wp:anchor distT="0" distB="0" distL="114300" distR="114300" simplePos="0" relativeHeight="251656192" behindDoc="0" locked="0" layoutInCell="1" allowOverlap="1" wp14:anchorId="2ED7D079" wp14:editId="4BB5162A">
                <wp:simplePos x="0" y="0"/>
                <wp:positionH relativeFrom="column">
                  <wp:posOffset>3764824</wp:posOffset>
                </wp:positionH>
                <wp:positionV relativeFrom="paragraph">
                  <wp:posOffset>232188</wp:posOffset>
                </wp:positionV>
                <wp:extent cx="2807126" cy="2177415"/>
                <wp:effectExtent l="0" t="9208" r="3493" b="3492"/>
                <wp:wrapNone/>
                <wp:docPr id="15"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7126" cy="2177415"/>
                        </a:xfrm>
                        <a:prstGeom prst="roundRect">
                          <a:avLst>
                            <a:gd name="adj" fmla="val 13032"/>
                          </a:avLst>
                        </a:prstGeom>
                        <a:solidFill>
                          <a:sysClr val="window" lastClr="FFFFFF"/>
                        </a:solidFill>
                      </wps:spPr>
                      <wps:txbx>
                        <w:txbxContent>
                          <w:p w14:paraId="3D11431B" w14:textId="1B8DA4B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FA72B3B" w14:textId="77777777" w:rsidR="005B50B0" w:rsidRDefault="005B50B0">
                            <w:pPr>
                              <w:jc w:val="both"/>
                              <w:rPr>
                                <w:rFonts w:ascii="Arial" w:eastAsiaTheme="majorEastAsia" w:hAnsi="Arial" w:cs="Arial"/>
                                <w:sz w:val="20"/>
                              </w:rPr>
                            </w:pPr>
                          </w:p>
                          <w:p w14:paraId="3ABE5393" w14:textId="59CAAFF2" w:rsidR="005B50B0" w:rsidRDefault="005B50B0">
                            <w:pPr>
                              <w:pStyle w:val="Textodecomentrio"/>
                              <w:jc w:val="both"/>
                            </w:pPr>
                            <w:r>
                              <w:rPr>
                                <w:rFonts w:ascii="Arial" w:eastAsiaTheme="majorEastAsia" w:hAnsi="Arial" w:cs="Arial"/>
                              </w:rPr>
                              <w:t xml:space="preserve">Além disso, outros novos membros entram no subgrupo nos </w:t>
                            </w:r>
                            <w:r>
                              <w:rPr>
                                <w:rFonts w:ascii="Arial" w:eastAsiaTheme="majorEastAsia" w:hAnsi="Arial" w:cs="Arial"/>
                                <w:color w:val="FFC000"/>
                              </w:rPr>
                              <w:t xml:space="preserve">anos 2 e 3 do </w:t>
                            </w:r>
                            <w:r>
                              <w:rPr>
                                <w:rFonts w:ascii="Arial" w:hAnsi="Arial" w:cs="Arial"/>
                              </w:rPr>
                              <w:t>ciclo do Plano de Ação. Antes de poderem ingressar no subgrupo, os candidatos devem cumprir todos os requisitos correspondentes do Plano de Ação para os anos 2 e 3, respectivamente.</w:t>
                            </w:r>
                          </w:p>
                          <w:p w14:paraId="3126637E" w14:textId="77777777" w:rsidR="005B50B0" w:rsidRDefault="005B50B0">
                            <w:pPr>
                              <w:jc w:val="both"/>
                            </w:pPr>
                          </w:p>
                          <w:p w14:paraId="728F18FB" w14:textId="77777777" w:rsidR="005B50B0" w:rsidRDefault="005B50B0">
                            <w:pPr>
                              <w:rPr>
                                <w:rFonts w:ascii="Arial" w:eastAsiaTheme="majorEastAsia" w:hAnsi="Arial" w:cs="Arial"/>
                                <w:i/>
                                <w:sz w:val="22"/>
                              </w:rPr>
                            </w:pPr>
                          </w:p>
                          <w:p w14:paraId="76BE3709" w14:textId="77777777" w:rsidR="005B50B0" w:rsidRDefault="005B50B0">
                            <w:pPr>
                              <w:rPr>
                                <w:rFonts w:ascii="Arial" w:eastAsiaTheme="majorEastAsia" w:hAnsi="Arial" w:cs="Arial"/>
                                <w:i/>
                                <w:sz w:val="22"/>
                              </w:rPr>
                            </w:pPr>
                          </w:p>
                          <w:p w14:paraId="7A525D29" w14:textId="77777777" w:rsidR="005B50B0" w:rsidRDefault="005B50B0">
                            <w:pPr>
                              <w:rPr>
                                <w:rFonts w:ascii="Arial" w:eastAsiaTheme="majorEastAsia" w:hAnsi="Arial" w:cs="Arial"/>
                                <w:i/>
                                <w:sz w:val="22"/>
                              </w:rPr>
                            </w:pPr>
                          </w:p>
                          <w:p w14:paraId="44CCE8B4" w14:textId="77777777" w:rsidR="005B50B0" w:rsidRDefault="005B50B0">
                            <w:pPr>
                              <w:rPr>
                                <w:rFonts w:ascii="Arial" w:eastAsiaTheme="majorEastAsia" w:hAnsi="Arial" w:cs="Arial"/>
                                <w:i/>
                                <w:sz w:val="22"/>
                              </w:rPr>
                            </w:pPr>
                          </w:p>
                          <w:p w14:paraId="04081025" w14:textId="77777777" w:rsidR="005B50B0" w:rsidRDefault="005B50B0">
                            <w:pPr>
                              <w:rPr>
                                <w:rFonts w:ascii="Arial" w:eastAsiaTheme="majorEastAsia" w:hAnsi="Arial" w:cs="Arial"/>
                                <w:i/>
                                <w:sz w:val="22"/>
                              </w:rPr>
                            </w:pPr>
                          </w:p>
                          <w:p w14:paraId="44600B3F" w14:textId="77777777" w:rsidR="005B50B0" w:rsidRDefault="005B50B0">
                            <w:pPr>
                              <w:rPr>
                                <w:rFonts w:asciiTheme="majorHAnsi" w:eastAsiaTheme="majorEastAsia" w:hAnsiTheme="majorHAnsi" w:cstheme="majorBidi"/>
                                <w:i/>
                                <w:sz w:val="28"/>
                              </w:rPr>
                            </w:pPr>
                          </w:p>
                          <w:p w14:paraId="339C4562" w14:textId="77777777" w:rsidR="005B50B0" w:rsidRDefault="005B50B0">
                            <w:pPr>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D7D079" id="_x0000_s1030" style="position:absolute;left:0;text-align:left;margin-left:296.45pt;margin-top:18.3pt;width:221.05pt;height:171.4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" fillcolor="window" stroked="f">
                <v:textbox>
                  <w:txbxContent>
                    <w:p w14:paraId="3D11431B" w14:textId="1B8DA4B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FA72B3B" w14:textId="77777777" w:rsidR="005B50B0" w:rsidRDefault="005B50B0">
                      <w:pPr>
                        <w:jc w:val="both"/>
                        <w:rPr>
                          <w:rFonts w:ascii="Arial" w:eastAsiaTheme="majorEastAsia" w:hAnsi="Arial" w:cs="Arial"/>
                          <w:sz w:val="20"/>
                        </w:rPr>
                      </w:pPr>
                    </w:p>
                    <w:p w14:paraId="3ABE5393" w14:textId="59CAAFF2" w:rsidR="005B50B0" w:rsidRDefault="005B50B0">
                      <w:pPr>
                        <w:pStyle w:val="Textodecomentrio"/>
                        <w:jc w:val="both"/>
                      </w:pPr>
                      <w:r>
                        <w:rPr>
                          <w:rFonts w:ascii="Arial" w:eastAsiaTheme="majorEastAsia" w:hAnsi="Arial" w:cs="Arial"/>
                        </w:rPr>
                        <w:t xml:space="preserve">Além disso, outros novos membros entram no subgrupo nos </w:t>
                      </w:r>
                      <w:r>
                        <w:rPr>
                          <w:rFonts w:ascii="Arial" w:eastAsiaTheme="majorEastAsia" w:hAnsi="Arial" w:cs="Arial"/>
                          <w:color w:val="FFC000"/>
                        </w:rPr>
                        <w:t xml:space="preserve">anos 2 e 3 do </w:t>
                      </w:r>
                      <w:r>
                        <w:rPr>
                          <w:rFonts w:ascii="Arial" w:hAnsi="Arial" w:cs="Arial"/>
                        </w:rPr>
                        <w:t>ciclo do Plano de Ação. Antes de poderem ingressar no subgrupo, os candidatos devem cumprir todos os requisitos correspondentes do Plano de Ação para os anos 2 e 3, respectivamente.</w:t>
                      </w:r>
                    </w:p>
                    <w:p w14:paraId="3126637E" w14:textId="77777777" w:rsidR="005B50B0" w:rsidRDefault="005B50B0">
                      <w:pPr>
                        <w:jc w:val="both"/>
                      </w:pPr>
                    </w:p>
                    <w:p w14:paraId="728F18FB" w14:textId="77777777" w:rsidR="005B50B0" w:rsidRDefault="005B50B0">
                      <w:pPr>
                        <w:rPr>
                          <w:rFonts w:ascii="Arial" w:eastAsiaTheme="majorEastAsia" w:hAnsi="Arial" w:cs="Arial"/>
                          <w:i/>
                          <w:sz w:val="22"/>
                        </w:rPr>
                      </w:pPr>
                    </w:p>
                    <w:p w14:paraId="76BE3709" w14:textId="77777777" w:rsidR="005B50B0" w:rsidRDefault="005B50B0">
                      <w:pPr>
                        <w:rPr>
                          <w:rFonts w:ascii="Arial" w:eastAsiaTheme="majorEastAsia" w:hAnsi="Arial" w:cs="Arial"/>
                          <w:i/>
                          <w:sz w:val="22"/>
                        </w:rPr>
                      </w:pPr>
                    </w:p>
                    <w:p w14:paraId="7A525D29" w14:textId="77777777" w:rsidR="005B50B0" w:rsidRDefault="005B50B0">
                      <w:pPr>
                        <w:rPr>
                          <w:rFonts w:ascii="Arial" w:eastAsiaTheme="majorEastAsia" w:hAnsi="Arial" w:cs="Arial"/>
                          <w:i/>
                          <w:sz w:val="22"/>
                        </w:rPr>
                      </w:pPr>
                    </w:p>
                    <w:p w14:paraId="44CCE8B4" w14:textId="77777777" w:rsidR="005B50B0" w:rsidRDefault="005B50B0">
                      <w:pPr>
                        <w:rPr>
                          <w:rFonts w:ascii="Arial" w:eastAsiaTheme="majorEastAsia" w:hAnsi="Arial" w:cs="Arial"/>
                          <w:i/>
                          <w:sz w:val="22"/>
                        </w:rPr>
                      </w:pPr>
                    </w:p>
                    <w:p w14:paraId="04081025" w14:textId="77777777" w:rsidR="005B50B0" w:rsidRDefault="005B50B0">
                      <w:pPr>
                        <w:rPr>
                          <w:rFonts w:ascii="Arial" w:eastAsiaTheme="majorEastAsia" w:hAnsi="Arial" w:cs="Arial"/>
                          <w:i/>
                          <w:sz w:val="22"/>
                        </w:rPr>
                      </w:pPr>
                    </w:p>
                    <w:p w14:paraId="44600B3F" w14:textId="77777777" w:rsidR="005B50B0" w:rsidRDefault="005B50B0">
                      <w:pPr>
                        <w:rPr>
                          <w:rFonts w:asciiTheme="majorHAnsi" w:eastAsiaTheme="majorEastAsia" w:hAnsiTheme="majorHAnsi" w:cstheme="majorBidi"/>
                          <w:i/>
                          <w:sz w:val="28"/>
                        </w:rPr>
                      </w:pPr>
                    </w:p>
                    <w:p w14:paraId="339C4562" w14:textId="77777777" w:rsidR="005B50B0" w:rsidRDefault="005B50B0">
                      <w:pPr>
                        <w:rPr>
                          <w:rFonts w:asciiTheme="majorHAnsi" w:eastAsiaTheme="majorEastAsia" w:hAnsiTheme="majorHAnsi" w:cstheme="majorBidi"/>
                          <w:i/>
                          <w:sz w:val="28"/>
                        </w:rPr>
                      </w:pPr>
                    </w:p>
                  </w:txbxContent>
                </v:textbox>
              </v:roundrect>
            </w:pict>
          </mc:Fallback>
        </mc:AlternateContent>
      </w:r>
      <w:r>
        <w:rPr>
          <w:noProof/>
        </w:rPr>
        <w:drawing>
          <wp:inline distT="0" distB="0" distL="0" distR="0" wp14:anchorId="78914DC3" wp14:editId="290908D6">
            <wp:extent cx="3644900" cy="1873690"/>
            <wp:effectExtent l="152400" t="152400" r="355600" b="3556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428" cy="19032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8AE3A45" w14:textId="06744A2C"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p>
    <w:p w14:paraId="364E24E2" w14:textId="6EE9B858"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p>
    <w:p w14:paraId="17520002" w14:textId="77777777"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p>
    <w:p w14:paraId="1E7C07FC" w14:textId="046CE76E"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4. Um novo grupo usa o PMC e todos os anos novos membros se juntam ao grupo</w:t>
      </w:r>
    </w:p>
    <w:p w14:paraId="48D9EE12" w14:textId="758D5B4D" w:rsidR="00F37DA1" w:rsidRDefault="00F37DA1">
      <w:pPr>
        <w:pStyle w:val="P68B1DB1-Normal5"/>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p>
    <w:p w14:paraId="4D10851E" w14:textId="4AF4950E" w:rsidR="00F37DA1" w:rsidRDefault="0042774D">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r>
        <w:rPr>
          <w:noProof/>
        </w:rPr>
        <mc:AlternateContent>
          <mc:Choice Requires="wps">
            <w:drawing>
              <wp:anchor distT="0" distB="0" distL="114300" distR="114300" simplePos="0" relativeHeight="251659264" behindDoc="0" locked="0" layoutInCell="1" allowOverlap="1" wp14:anchorId="174B0AB8" wp14:editId="4CB1BB54">
                <wp:simplePos x="0" y="0"/>
                <wp:positionH relativeFrom="column">
                  <wp:posOffset>3864268</wp:posOffset>
                </wp:positionH>
                <wp:positionV relativeFrom="paragraph">
                  <wp:posOffset>47978</wp:posOffset>
                </wp:positionV>
                <wp:extent cx="2589279" cy="2073910"/>
                <wp:effectExtent l="0" t="9207" r="0" b="0"/>
                <wp:wrapNone/>
                <wp:docPr id="4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9279" cy="2073910"/>
                        </a:xfrm>
                        <a:prstGeom prst="roundRect">
                          <a:avLst>
                            <a:gd name="adj" fmla="val 13032"/>
                          </a:avLst>
                        </a:prstGeom>
                        <a:solidFill>
                          <a:sysClr val="window" lastClr="FFFFFF"/>
                        </a:solidFill>
                      </wps:spPr>
                      <wps:txbx>
                        <w:txbxContent>
                          <w:p w14:paraId="128B5B7C" w14:textId="77777777" w:rsidR="005B50B0" w:rsidRDefault="005B50B0">
                            <w:pPr>
                              <w:pStyle w:val="P68B1DB1-Normal29"/>
                              <w:jc w:val="both"/>
                              <w:rPr>
                                <w:sz w:val="20"/>
                              </w:rPr>
                            </w:pPr>
                            <w:r>
                              <w:rPr>
                                <w:sz w:val="22"/>
                              </w:rPr>
                              <w:t xml:space="preserve">Um novo </w:t>
                            </w:r>
                            <w:r>
                              <w:rPr>
                                <w:sz w:val="20"/>
                              </w:rPr>
                              <w:t xml:space="preserve">Grupo torna-se certificado usando o PMC. Os membros começam no ano “0” do ciclo do Plano de Ação. </w:t>
                            </w:r>
                          </w:p>
                          <w:p w14:paraId="07416E15" w14:textId="77777777" w:rsidR="005B50B0" w:rsidRDefault="005B50B0">
                            <w:pPr>
                              <w:jc w:val="both"/>
                              <w:rPr>
                                <w:rFonts w:ascii="Arial" w:eastAsiaTheme="majorEastAsia" w:hAnsi="Arial" w:cs="Arial"/>
                                <w:sz w:val="20"/>
                              </w:rPr>
                            </w:pPr>
                          </w:p>
                          <w:p w14:paraId="7428C8CA" w14:textId="7E2B8392" w:rsidR="005B50B0" w:rsidRDefault="005B50B0">
                            <w:pPr>
                              <w:pStyle w:val="Textodecomentrio"/>
                              <w:jc w:val="both"/>
                              <w:rPr>
                                <w:rFonts w:ascii="Arial" w:hAnsi="Arial" w:cs="Arial"/>
                              </w:rPr>
                            </w:pPr>
                            <w:r>
                              <w:rPr>
                                <w:rFonts w:ascii="Arial" w:eastAsiaTheme="majorEastAsia" w:hAnsi="Arial" w:cs="Arial"/>
                              </w:rPr>
                              <w:t xml:space="preserve">Além disso, outros novos membros entram no grupo no </w:t>
                            </w:r>
                            <w:r>
                              <w:rPr>
                                <w:rFonts w:ascii="Arial" w:eastAsiaTheme="majorEastAsia" w:hAnsi="Arial" w:cs="Arial"/>
                                <w:color w:val="FFC000"/>
                              </w:rPr>
                              <w:t xml:space="preserve">ano 1,2,3 e 4 </w:t>
                            </w:r>
                            <w:r>
                              <w:rPr>
                                <w:rFonts w:ascii="Arial" w:hAnsi="Arial" w:cs="Arial"/>
                              </w:rPr>
                              <w:t>do ciclo do Plano de Ação. Antes de poderem ingressar no grupo, os candidatos deverão cumprir todos os requisitos correspondentes ao ano 1, 2, 3 e 4 do Plano de Ação, respe</w:t>
                            </w:r>
                            <w:r w:rsidR="00EC675F">
                              <w:rPr>
                                <w:rFonts w:ascii="Arial" w:hAnsi="Arial" w:cs="Arial"/>
                              </w:rPr>
                              <w:t>c</w:t>
                            </w:r>
                            <w:r>
                              <w:rPr>
                                <w:rFonts w:ascii="Arial" w:hAnsi="Arial" w:cs="Arial"/>
                              </w:rPr>
                              <w:t xml:space="preserve">tivamente. </w:t>
                            </w:r>
                          </w:p>
                          <w:p w14:paraId="4DBC9E3C" w14:textId="77777777" w:rsidR="005B50B0" w:rsidRDefault="005B50B0">
                            <w:pPr>
                              <w:jc w:val="both"/>
                              <w:rPr>
                                <w:rFonts w:ascii="Arial" w:eastAsiaTheme="majorEastAsia" w:hAnsi="Arial" w:cs="Arial"/>
                                <w:sz w:val="20"/>
                              </w:rPr>
                            </w:pPr>
                          </w:p>
                          <w:p w14:paraId="5BABE360" w14:textId="77777777" w:rsidR="005B50B0" w:rsidRDefault="005B50B0">
                            <w:pPr>
                              <w:pStyle w:val="P68B1DB1-Normal16"/>
                              <w:rPr>
                                <w:rFonts w:eastAsiaTheme="majorEastAsia"/>
                              </w:rPr>
                            </w:pPr>
                            <w:r>
                              <w:t xml:space="preserve"> </w:t>
                            </w:r>
                          </w:p>
                          <w:p w14:paraId="6C3EBECD" w14:textId="77777777" w:rsidR="005B50B0" w:rsidRDefault="005B50B0">
                            <w:pPr>
                              <w:rPr>
                                <w:rFonts w:ascii="Arial" w:eastAsiaTheme="majorEastAsia" w:hAnsi="Arial" w:cs="Arial"/>
                                <w:i/>
                                <w:sz w:val="22"/>
                              </w:rPr>
                            </w:pPr>
                          </w:p>
                          <w:p w14:paraId="3E2AB203" w14:textId="77777777" w:rsidR="005B50B0" w:rsidRDefault="005B50B0">
                            <w:pPr>
                              <w:rPr>
                                <w:rFonts w:ascii="Arial" w:eastAsiaTheme="majorEastAsia" w:hAnsi="Arial" w:cs="Arial"/>
                                <w:i/>
                                <w:sz w:val="22"/>
                              </w:rPr>
                            </w:pPr>
                          </w:p>
                          <w:p w14:paraId="06FBFA87" w14:textId="77777777" w:rsidR="005B50B0" w:rsidRDefault="005B50B0">
                            <w:pPr>
                              <w:rPr>
                                <w:rFonts w:ascii="Arial" w:eastAsiaTheme="majorEastAsia" w:hAnsi="Arial" w:cs="Arial"/>
                                <w:i/>
                                <w:sz w:val="22"/>
                              </w:rPr>
                            </w:pPr>
                          </w:p>
                          <w:p w14:paraId="0BC6D3EE" w14:textId="77777777" w:rsidR="005B50B0" w:rsidRDefault="005B50B0">
                            <w:pPr>
                              <w:rPr>
                                <w:rFonts w:asciiTheme="majorHAnsi" w:eastAsiaTheme="majorEastAsia" w:hAnsiTheme="majorHAnsi" w:cstheme="majorBidi"/>
                                <w:i/>
                                <w:sz w:val="28"/>
                              </w:rPr>
                            </w:pPr>
                          </w:p>
                          <w:p w14:paraId="65BCFE7E" w14:textId="77777777" w:rsidR="005B50B0" w:rsidRDefault="005B50B0">
                            <w:pPr>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4B0AB8" id="_x0000_s1031" style="position:absolute;left:0;text-align:left;margin-left:304.25pt;margin-top:3.8pt;width:203.9pt;height:163.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" fillcolor="window" stroked="f">
                <v:textbox>
                  <w:txbxContent>
                    <w:p w14:paraId="128B5B7C" w14:textId="77777777" w:rsidR="005B50B0" w:rsidRDefault="005B50B0">
                      <w:pPr>
                        <w:pStyle w:val="P68B1DB1-Normal29"/>
                        <w:jc w:val="both"/>
                        <w:rPr>
                          <w:sz w:val="20"/>
                        </w:rPr>
                      </w:pPr>
                      <w:r>
                        <w:rPr>
                          <w:sz w:val="22"/>
                        </w:rPr>
                        <w:t xml:space="preserve">Um novo </w:t>
                      </w:r>
                      <w:r>
                        <w:rPr>
                          <w:sz w:val="20"/>
                        </w:rPr>
                        <w:t xml:space="preserve">Grupo torna-se certificado usando o PMC. Os membros começam no ano “0” do ciclo do Plano de Ação. </w:t>
                      </w:r>
                    </w:p>
                    <w:p w14:paraId="07416E15" w14:textId="77777777" w:rsidR="005B50B0" w:rsidRDefault="005B50B0">
                      <w:pPr>
                        <w:jc w:val="both"/>
                        <w:rPr>
                          <w:rFonts w:ascii="Arial" w:eastAsiaTheme="majorEastAsia" w:hAnsi="Arial" w:cs="Arial"/>
                          <w:sz w:val="20"/>
                        </w:rPr>
                      </w:pPr>
                    </w:p>
                    <w:p w14:paraId="7428C8CA" w14:textId="7E2B8392" w:rsidR="005B50B0" w:rsidRDefault="005B50B0">
                      <w:pPr>
                        <w:pStyle w:val="Textodecomentrio"/>
                        <w:jc w:val="both"/>
                        <w:rPr>
                          <w:rFonts w:ascii="Arial" w:hAnsi="Arial" w:cs="Arial"/>
                        </w:rPr>
                      </w:pPr>
                      <w:r>
                        <w:rPr>
                          <w:rFonts w:ascii="Arial" w:eastAsiaTheme="majorEastAsia" w:hAnsi="Arial" w:cs="Arial"/>
                        </w:rPr>
                        <w:t xml:space="preserve">Além disso, outros novos membros entram no grupo no </w:t>
                      </w:r>
                      <w:r>
                        <w:rPr>
                          <w:rFonts w:ascii="Arial" w:eastAsiaTheme="majorEastAsia" w:hAnsi="Arial" w:cs="Arial"/>
                          <w:color w:val="FFC000"/>
                        </w:rPr>
                        <w:t xml:space="preserve">ano 1,2,3 e 4 </w:t>
                      </w:r>
                      <w:r>
                        <w:rPr>
                          <w:rFonts w:ascii="Arial" w:hAnsi="Arial" w:cs="Arial"/>
                        </w:rPr>
                        <w:t>do ciclo do Plano de Ação. Antes de poderem ingressar no grupo, os candidatos deverão cumprir todos os requisitos correspondentes ao ano 1, 2, 3 e 4 do Plano de Ação, respe</w:t>
                      </w:r>
                      <w:r w:rsidR="00EC675F">
                        <w:rPr>
                          <w:rFonts w:ascii="Arial" w:hAnsi="Arial" w:cs="Arial"/>
                        </w:rPr>
                        <w:t>c</w:t>
                      </w:r>
                      <w:r>
                        <w:rPr>
                          <w:rFonts w:ascii="Arial" w:hAnsi="Arial" w:cs="Arial"/>
                        </w:rPr>
                        <w:t xml:space="preserve">tivamente. </w:t>
                      </w:r>
                    </w:p>
                    <w:p w14:paraId="4DBC9E3C" w14:textId="77777777" w:rsidR="005B50B0" w:rsidRDefault="005B50B0">
                      <w:pPr>
                        <w:jc w:val="both"/>
                        <w:rPr>
                          <w:rFonts w:ascii="Arial" w:eastAsiaTheme="majorEastAsia" w:hAnsi="Arial" w:cs="Arial"/>
                          <w:sz w:val="20"/>
                        </w:rPr>
                      </w:pPr>
                    </w:p>
                    <w:p w14:paraId="5BABE360" w14:textId="77777777" w:rsidR="005B50B0" w:rsidRDefault="005B50B0">
                      <w:pPr>
                        <w:pStyle w:val="P68B1DB1-Normal16"/>
                        <w:rPr>
                          <w:rFonts w:eastAsiaTheme="majorEastAsia"/>
                        </w:rPr>
                      </w:pPr>
                      <w:r>
                        <w:t xml:space="preserve"> </w:t>
                      </w:r>
                    </w:p>
                    <w:p w14:paraId="6C3EBECD" w14:textId="77777777" w:rsidR="005B50B0" w:rsidRDefault="005B50B0">
                      <w:pPr>
                        <w:rPr>
                          <w:rFonts w:ascii="Arial" w:eastAsiaTheme="majorEastAsia" w:hAnsi="Arial" w:cs="Arial"/>
                          <w:i/>
                          <w:sz w:val="22"/>
                        </w:rPr>
                      </w:pPr>
                    </w:p>
                    <w:p w14:paraId="3E2AB203" w14:textId="77777777" w:rsidR="005B50B0" w:rsidRDefault="005B50B0">
                      <w:pPr>
                        <w:rPr>
                          <w:rFonts w:ascii="Arial" w:eastAsiaTheme="majorEastAsia" w:hAnsi="Arial" w:cs="Arial"/>
                          <w:i/>
                          <w:sz w:val="22"/>
                        </w:rPr>
                      </w:pPr>
                    </w:p>
                    <w:p w14:paraId="06FBFA87" w14:textId="77777777" w:rsidR="005B50B0" w:rsidRDefault="005B50B0">
                      <w:pPr>
                        <w:rPr>
                          <w:rFonts w:ascii="Arial" w:eastAsiaTheme="majorEastAsia" w:hAnsi="Arial" w:cs="Arial"/>
                          <w:i/>
                          <w:sz w:val="22"/>
                        </w:rPr>
                      </w:pPr>
                    </w:p>
                    <w:p w14:paraId="0BC6D3EE" w14:textId="77777777" w:rsidR="005B50B0" w:rsidRDefault="005B50B0">
                      <w:pPr>
                        <w:rPr>
                          <w:rFonts w:asciiTheme="majorHAnsi" w:eastAsiaTheme="majorEastAsia" w:hAnsiTheme="majorHAnsi" w:cstheme="majorBidi"/>
                          <w:i/>
                          <w:sz w:val="28"/>
                        </w:rPr>
                      </w:pPr>
                    </w:p>
                    <w:p w14:paraId="65BCFE7E" w14:textId="77777777" w:rsidR="005B50B0" w:rsidRDefault="005B50B0">
                      <w:pPr>
                        <w:rPr>
                          <w:rFonts w:asciiTheme="majorHAnsi" w:eastAsiaTheme="majorEastAsia" w:hAnsiTheme="majorHAnsi" w:cstheme="majorBidi"/>
                          <w:i/>
                          <w:sz w:val="28"/>
                        </w:rPr>
                      </w:pPr>
                    </w:p>
                  </w:txbxContent>
                </v:textbox>
              </v:roundrect>
            </w:pict>
          </mc:Fallback>
        </mc:AlternateContent>
      </w:r>
      <w:r w:rsidR="004E7609">
        <w:rPr>
          <w:noProof/>
        </w:rPr>
        <w:drawing>
          <wp:inline distT="0" distB="0" distL="0" distR="0" wp14:anchorId="64D18CFA" wp14:editId="7C453B9D">
            <wp:extent cx="3644900" cy="1611426"/>
            <wp:effectExtent l="152400" t="152400" r="355600" b="3702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486" cy="16444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2EA4F" w14:textId="20341FF4" w:rsidR="00F37DA1" w:rsidRDefault="00374462">
      <w:pPr>
        <w:pStyle w:val="P68B1DB1-Normal16"/>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rPr>
          <w:noProof/>
        </w:rPr>
        <w:drawing>
          <wp:inline distT="0" distB="0" distL="0" distR="0" wp14:anchorId="728234F9" wp14:editId="03CE8FC6">
            <wp:extent cx="2695492" cy="1225351"/>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947" cy="1250106"/>
                    </a:xfrm>
                    <a:prstGeom prst="rect">
                      <a:avLst/>
                    </a:prstGeom>
                    <a:noFill/>
                  </pic:spPr>
                </pic:pic>
              </a:graphicData>
            </a:graphic>
          </wp:inline>
        </w:drawing>
      </w:r>
    </w:p>
    <w:p w14:paraId="10570F6E" w14:textId="77777777"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color w:val="285C4D"/>
          <w:sz w:val="2"/>
        </w:rPr>
      </w:pPr>
    </w:p>
    <w:p w14:paraId="100CB391" w14:textId="525178E6" w:rsidR="00F37DA1" w:rsidRDefault="00F37DA1">
      <w:pPr>
        <w:pStyle w:val="Ttulo1"/>
        <w:rPr>
          <w:rFonts w:ascii="Arial" w:eastAsiaTheme="minorEastAsia" w:hAnsi="Arial" w:cstheme="minorBidi"/>
          <w:b w:val="0"/>
          <w:color w:val="auto"/>
          <w:sz w:val="22"/>
        </w:rPr>
      </w:pPr>
    </w:p>
    <w:p w14:paraId="1818535F" w14:textId="1822DF8E" w:rsidR="00F37DA1" w:rsidRDefault="004E7609">
      <w:pPr>
        <w:pStyle w:val="Ttulo1"/>
      </w:pPr>
      <w:bookmarkStart w:id="72" w:name="_Toc74945883"/>
      <w:bookmarkStart w:id="73" w:name="_Toc76736531"/>
      <w:r>
        <w:t xml:space="preserve">PARTE II Requisitos para os </w:t>
      </w:r>
      <w:r w:rsidR="00167A71">
        <w:t>organismos de certificação</w:t>
      </w:r>
      <w:bookmarkEnd w:id="73"/>
      <w:r w:rsidR="00167A71">
        <w:t xml:space="preserve"> </w:t>
      </w:r>
      <w:bookmarkEnd w:id="72"/>
    </w:p>
    <w:p w14:paraId="5113CFB4" w14:textId="65A49F74" w:rsidR="00F37DA1" w:rsidRDefault="004E7609">
      <w:pPr>
        <w:pStyle w:val="Ttulo2"/>
        <w:numPr>
          <w:ilvl w:val="0"/>
          <w:numId w:val="2"/>
        </w:numPr>
        <w:ind w:left="426" w:hanging="426"/>
      </w:pPr>
      <w:bookmarkStart w:id="74" w:name="_Toc72869563"/>
      <w:bookmarkStart w:id="75" w:name="_Toc72869588"/>
      <w:bookmarkStart w:id="76" w:name="_Toc72869623"/>
      <w:bookmarkStart w:id="77" w:name="_Toc72870215"/>
      <w:bookmarkStart w:id="78" w:name="_Toc72870298"/>
      <w:bookmarkStart w:id="79" w:name="_Toc72870340"/>
      <w:bookmarkStart w:id="80" w:name="_Toc72870372"/>
      <w:bookmarkStart w:id="81" w:name="_Toc72870404"/>
      <w:bookmarkStart w:id="82" w:name="_Toc72872291"/>
      <w:bookmarkStart w:id="83" w:name="_Toc72872335"/>
      <w:bookmarkStart w:id="84" w:name="_Toc74945884"/>
      <w:bookmarkStart w:id="85" w:name="_Toc76736532"/>
      <w:bookmarkEnd w:id="74"/>
      <w:bookmarkEnd w:id="75"/>
      <w:bookmarkEnd w:id="76"/>
      <w:bookmarkEnd w:id="77"/>
      <w:bookmarkEnd w:id="78"/>
      <w:bookmarkEnd w:id="79"/>
      <w:bookmarkEnd w:id="80"/>
      <w:bookmarkEnd w:id="81"/>
      <w:bookmarkEnd w:id="82"/>
      <w:bookmarkEnd w:id="83"/>
      <w:r>
        <w:t>Requisitos gerais</w:t>
      </w:r>
      <w:bookmarkEnd w:id="84"/>
      <w:bookmarkEnd w:id="85"/>
    </w:p>
    <w:p w14:paraId="6AE7E3A0" w14:textId="266A6A48" w:rsidR="00F37DA1" w:rsidRDefault="004E7609">
      <w:pPr>
        <w:pStyle w:val="P68B1DB1-Default14"/>
      </w:pPr>
      <w:r>
        <w:t xml:space="preserve">Além dos requisitos do </w:t>
      </w:r>
      <w:r>
        <w:rPr>
          <w:i/>
        </w:rPr>
        <w:t xml:space="preserve">FSC-STD-20-001 Requisitos gerais para </w:t>
      </w:r>
      <w:r w:rsidR="00167A71">
        <w:rPr>
          <w:i/>
        </w:rPr>
        <w:t>organismos de certificação acreditados</w:t>
      </w:r>
      <w:r>
        <w:rPr>
          <w:i/>
        </w:rPr>
        <w:t xml:space="preserve"> pelo FSC</w:t>
      </w:r>
      <w:r>
        <w:t>, o OC deve estar em conformidade com os seguintes requisitos gerais:</w:t>
      </w:r>
    </w:p>
    <w:p w14:paraId="2A253951" w14:textId="5B7C1523" w:rsidR="00F37DA1" w:rsidRDefault="004E7609">
      <w:pPr>
        <w:pStyle w:val="Indicator"/>
        <w:ind w:left="993" w:hanging="567"/>
      </w:pPr>
      <w:r>
        <w:t xml:space="preserve">Pelo menos um (1) membro da equipe de auditoria deve ter conhecimento sobre aspectos culturais de pequenos produtores e comunidades e técnicas </w:t>
      </w:r>
      <w:r w:rsidR="00D30D98">
        <w:t xml:space="preserve">sociais </w:t>
      </w:r>
      <w:r>
        <w:t xml:space="preserve">de auditoria com um forte foco em interações culturalmente apropriadas. </w:t>
      </w:r>
    </w:p>
    <w:p w14:paraId="4A16635F" w14:textId="4243B668" w:rsidR="00F37DA1" w:rsidRDefault="004E7609">
      <w:pPr>
        <w:pStyle w:val="Indicator"/>
        <w:ind w:left="993" w:hanging="567"/>
      </w:pPr>
      <w:r>
        <w:t xml:space="preserve">Deve ser </w:t>
      </w:r>
      <w:r w:rsidR="00D30D98">
        <w:t xml:space="preserve">utilizado </w:t>
      </w:r>
      <w:r>
        <w:t>um especialista técnico.</w:t>
      </w:r>
    </w:p>
    <w:p w14:paraId="27554C56" w14:textId="3AB993B1" w:rsidR="00F37DA1" w:rsidRDefault="004E7609">
      <w:pPr>
        <w:pStyle w:val="Indicator"/>
        <w:ind w:left="993" w:hanging="567"/>
      </w:pPr>
      <w:r>
        <w:t xml:space="preserve">Se instruído pelo líder da equipe de auditoria, o especialista técnico tem permissão para realizar entrevistas e outras tarefas específicas </w:t>
      </w:r>
      <w:r w:rsidR="000047C6">
        <w:t>desacompanhado</w:t>
      </w:r>
      <w:r>
        <w:t>.</w:t>
      </w:r>
    </w:p>
    <w:p w14:paraId="3EE297D8" w14:textId="7C63B3F4" w:rsidR="00F37DA1" w:rsidRDefault="004E7609">
      <w:pPr>
        <w:pStyle w:val="Indicator"/>
        <w:ind w:left="993" w:hanging="567"/>
      </w:pPr>
      <w:r>
        <w:t xml:space="preserve">Quando o usuário do PMC foi apoiado por uma terceira pessoa (consultor, especialista local, </w:t>
      </w:r>
      <w:proofErr w:type="gramStart"/>
      <w:r>
        <w:t>ONG, etc.</w:t>
      </w:r>
      <w:proofErr w:type="gramEnd"/>
      <w:r>
        <w:t xml:space="preserve">) para a conformidade com um requisito da norma FSC aplicável e se o usuário do PMC concordar, o OC deve se dirigir a essa terceira pessoa durante a avaliação de </w:t>
      </w:r>
      <w:r w:rsidR="00C62B4D">
        <w:t>tal requisito.</w:t>
      </w:r>
    </w:p>
    <w:p w14:paraId="0169A64A" w14:textId="17FBA2DC" w:rsidR="00F37DA1" w:rsidRDefault="004E7609">
      <w:pPr>
        <w:pStyle w:val="PargrafodaLista"/>
        <w:numPr>
          <w:ilvl w:val="1"/>
          <w:numId w:val="2"/>
        </w:numPr>
        <w:tabs>
          <w:tab w:val="left" w:pos="6804"/>
        </w:tabs>
        <w:spacing w:before="120" w:after="120"/>
        <w:ind w:left="993" w:hanging="567"/>
        <w:contextualSpacing w:val="0"/>
        <w:jc w:val="both"/>
        <w:rPr>
          <w:rFonts w:ascii="Arial" w:hAnsi="Arial" w:cs="Arial"/>
          <w:sz w:val="22"/>
        </w:rPr>
      </w:pPr>
      <w:r>
        <w:rPr>
          <w:rFonts w:ascii="Arial" w:hAnsi="Arial" w:cs="Arial"/>
          <w:sz w:val="22"/>
        </w:rPr>
        <w:t xml:space="preserve">O OC deve avaliar a </w:t>
      </w:r>
      <w:r>
        <w:rPr>
          <w:rFonts w:ascii="Helvetica" w:hAnsi="Helvetica"/>
          <w:color w:val="000000"/>
          <w:sz w:val="22"/>
        </w:rPr>
        <w:t>ação realizada pelo usuário do PMC para</w:t>
      </w:r>
      <w:r>
        <w:t xml:space="preserve"> </w:t>
      </w:r>
      <w:r>
        <w:rPr>
          <w:rFonts w:ascii="Arial" w:hAnsi="Arial" w:cs="Arial"/>
          <w:sz w:val="22"/>
        </w:rPr>
        <w:t xml:space="preserve">fechar não-conformidades, </w:t>
      </w:r>
      <w:r w:rsidR="008E219D">
        <w:rPr>
          <w:rFonts w:ascii="Arial" w:hAnsi="Arial" w:cs="Arial"/>
          <w:sz w:val="22"/>
        </w:rPr>
        <w:t xml:space="preserve">remotamente </w:t>
      </w:r>
      <w:r>
        <w:rPr>
          <w:rFonts w:ascii="Arial" w:hAnsi="Arial" w:cs="Arial"/>
          <w:sz w:val="22"/>
        </w:rPr>
        <w:t>tanto quanto possível, aplicando Tecnologia da Informação e Comunicação (TIC).</w:t>
      </w:r>
    </w:p>
    <w:p w14:paraId="211B6113" w14:textId="308842AB" w:rsidR="00F37DA1" w:rsidRDefault="004E7609">
      <w:pPr>
        <w:pStyle w:val="Ttulo2"/>
        <w:numPr>
          <w:ilvl w:val="0"/>
          <w:numId w:val="2"/>
        </w:numPr>
        <w:ind w:left="426" w:hanging="426"/>
      </w:pPr>
      <w:bookmarkStart w:id="86" w:name="_Toc74945885"/>
      <w:bookmarkStart w:id="87" w:name="_Toc76736533"/>
      <w:r>
        <w:t>Tipos de auditoria no primeiro ciclo de certificação</w:t>
      </w:r>
      <w:bookmarkEnd w:id="86"/>
      <w:bookmarkEnd w:id="87"/>
    </w:p>
    <w:p w14:paraId="2694041D" w14:textId="1AD46AC0" w:rsidR="00F37DA1" w:rsidRDefault="004E7609">
      <w:pPr>
        <w:pStyle w:val="Indicator"/>
        <w:ind w:left="993" w:hanging="567"/>
      </w:pPr>
      <w:r>
        <w:t>O OC deve seguir o conceito representado na Figura 2 e no Diagrama 1 abaixo para determinar o tipo de auditoria, se houver, a ser implementada em cada ano.</w:t>
      </w:r>
    </w:p>
    <w:p w14:paraId="4AC7B89A" w14:textId="77777777" w:rsidR="00F37DA1" w:rsidRDefault="00F37DA1">
      <w:pPr>
        <w:rPr>
          <w:rFonts w:ascii="Arial" w:hAnsi="Arial" w:cs="Arial"/>
          <w:b/>
          <w:sz w:val="22"/>
        </w:rPr>
      </w:pPr>
    </w:p>
    <w:p w14:paraId="6EF796FE" w14:textId="4B926DA4" w:rsidR="00F37DA1" w:rsidRDefault="004E7609">
      <w:pPr>
        <w:pStyle w:val="P68B1DB1-Normal6"/>
      </w:pPr>
      <w:r>
        <w:rPr>
          <w:b/>
        </w:rPr>
        <w:lastRenderedPageBreak/>
        <w:t>Figura 2:</w:t>
      </w:r>
      <w:r>
        <w:t xml:space="preserve"> Tipos de auditorias durante o primeiro ciclo de certificação, incluindo conteúdo </w:t>
      </w:r>
      <w:r w:rsidRPr="00DB3C6B">
        <w:rPr>
          <w:iCs/>
        </w:rPr>
        <w:t>para</w:t>
      </w:r>
      <w:r>
        <w:rPr>
          <w:i/>
        </w:rPr>
        <w:t xml:space="preserve"> </w:t>
      </w:r>
      <w:r w:rsidRPr="00DB3C6B">
        <w:rPr>
          <w:iCs/>
        </w:rPr>
        <w:t>Automonitoramento</w:t>
      </w:r>
      <w:r>
        <w:t xml:space="preserve"> pelo usuário do PMC (Diagrama 1) nos anos 2 e 4.</w:t>
      </w:r>
    </w:p>
    <w:p w14:paraId="4BB07DC7" w14:textId="77777777" w:rsidR="00F37DA1" w:rsidRDefault="00F37DA1">
      <w:pPr>
        <w:rPr>
          <w:rFonts w:ascii="Arial" w:hAnsi="Arial" w:cs="Arial"/>
          <w:b/>
          <w:sz w:val="22"/>
        </w:rPr>
      </w:pPr>
    </w:p>
    <w:p w14:paraId="726C7272" w14:textId="150F15AB" w:rsidR="00F37DA1" w:rsidRDefault="0030477E">
      <w:pPr>
        <w:pStyle w:val="Legenda"/>
        <w:keepNext/>
        <w:ind w:left="-709"/>
        <w:jc w:val="center"/>
      </w:pPr>
      <w:r>
        <w:rPr>
          <w:noProof/>
        </w:rPr>
        <w:drawing>
          <wp:inline distT="0" distB="0" distL="0" distR="0" wp14:anchorId="4535ABCC" wp14:editId="0954FE63">
            <wp:extent cx="5910302" cy="436869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0624" cy="4398495"/>
                    </a:xfrm>
                    <a:prstGeom prst="rect">
                      <a:avLst/>
                    </a:prstGeom>
                    <a:noFill/>
                  </pic:spPr>
                </pic:pic>
              </a:graphicData>
            </a:graphic>
          </wp:inline>
        </w:drawing>
      </w:r>
    </w:p>
    <w:p w14:paraId="07BEC871" w14:textId="64FD1F9D" w:rsidR="00F37DA1" w:rsidRDefault="00F37DA1">
      <w:pPr>
        <w:tabs>
          <w:tab w:val="left" w:pos="6804"/>
        </w:tabs>
        <w:spacing w:before="120" w:after="120"/>
        <w:jc w:val="both"/>
        <w:rPr>
          <w:rFonts w:ascii="Arial" w:hAnsi="Arial" w:cs="Arial"/>
          <w:sz w:val="22"/>
        </w:rPr>
      </w:pPr>
    </w:p>
    <w:p w14:paraId="52A758FA" w14:textId="57558AE8" w:rsidR="00F37DA1" w:rsidRDefault="004E7609">
      <w:pPr>
        <w:pStyle w:val="Ttulo2"/>
        <w:numPr>
          <w:ilvl w:val="0"/>
          <w:numId w:val="2"/>
        </w:numPr>
        <w:ind w:left="426" w:hanging="426"/>
      </w:pPr>
      <w:bookmarkStart w:id="88" w:name="_Toc74945886"/>
      <w:bookmarkStart w:id="89" w:name="_Toc76736534"/>
      <w:r>
        <w:t>Avaliação principal</w:t>
      </w:r>
      <w:bookmarkEnd w:id="88"/>
      <w:bookmarkEnd w:id="89"/>
    </w:p>
    <w:p w14:paraId="58BA1E3B" w14:textId="1DFC7D26" w:rsidR="00F37DA1" w:rsidRDefault="004E7609">
      <w:pPr>
        <w:pStyle w:val="Indicator"/>
        <w:ind w:left="993" w:hanging="567"/>
      </w:pPr>
      <w:r>
        <w:t>Se o usuário do PMC tiver conduzido uma autoavaliação inicial, o OC deve usar os resultados como entrada para se preparar para a avaliação principal.</w:t>
      </w:r>
    </w:p>
    <w:p w14:paraId="58F7A416" w14:textId="6B53CAD4" w:rsidR="00F37DA1" w:rsidRDefault="004E7609">
      <w:pPr>
        <w:pStyle w:val="Indicator"/>
        <w:ind w:left="993" w:hanging="567"/>
      </w:pPr>
      <w:r>
        <w:t>Durante a avaliação principal, o OC deve avaliar se o usuário do PMC:</w:t>
      </w:r>
    </w:p>
    <w:p w14:paraId="2D88B178" w14:textId="463E9EEF" w:rsidR="00F37DA1" w:rsidRDefault="004E7609">
      <w:pPr>
        <w:pStyle w:val="P68B1DB1-Prrafodelista11"/>
        <w:numPr>
          <w:ilvl w:val="0"/>
          <w:numId w:val="4"/>
        </w:numPr>
        <w:tabs>
          <w:tab w:val="left" w:pos="6804"/>
        </w:tabs>
        <w:spacing w:before="120" w:after="120"/>
        <w:ind w:left="1418" w:hanging="425"/>
        <w:contextualSpacing w:val="0"/>
        <w:jc w:val="both"/>
      </w:pPr>
      <w:r>
        <w:t xml:space="preserve">Está em conformidade com todos os </w:t>
      </w:r>
      <w:r w:rsidR="00355F33">
        <w:t xml:space="preserve">CC </w:t>
      </w:r>
      <w:r>
        <w:t>da norma FSC aplicável;</w:t>
      </w:r>
    </w:p>
    <w:p w14:paraId="04C4ED13" w14:textId="578706C2" w:rsidR="00F37DA1" w:rsidRDefault="004E7609">
      <w:pPr>
        <w:pStyle w:val="P68B1DB1-Prrafodelista11"/>
        <w:numPr>
          <w:ilvl w:val="0"/>
          <w:numId w:val="4"/>
        </w:numPr>
        <w:tabs>
          <w:tab w:val="left" w:pos="6804"/>
        </w:tabs>
        <w:spacing w:before="120" w:after="120"/>
        <w:ind w:left="1418" w:hanging="425"/>
        <w:contextualSpacing w:val="0"/>
        <w:jc w:val="both"/>
      </w:pPr>
      <w:r>
        <w:t>Desenvolveu um Plano de Ação que está em conformidade com os requisitos da Seção 2 deste procedimento.</w:t>
      </w:r>
    </w:p>
    <w:p w14:paraId="73F6233C" w14:textId="39CD108C" w:rsidR="00F37DA1" w:rsidRDefault="004E7609">
      <w:pPr>
        <w:pStyle w:val="P68B1DB1-Prrafodelista11"/>
        <w:numPr>
          <w:ilvl w:val="0"/>
          <w:numId w:val="4"/>
        </w:numPr>
        <w:tabs>
          <w:tab w:val="left" w:pos="6804"/>
        </w:tabs>
        <w:spacing w:before="120" w:after="120"/>
        <w:ind w:left="1418" w:hanging="425"/>
        <w:contextualSpacing w:val="0"/>
        <w:jc w:val="both"/>
      </w:pPr>
      <w:r>
        <w:t>Definiu o que constitui atividades de perturbação do local dentro da Unidade de Manejo e forneceu a justificativa necessária.</w:t>
      </w:r>
    </w:p>
    <w:p w14:paraId="3854D23D" w14:textId="7E4C3D76" w:rsidR="00F37DA1" w:rsidRDefault="004E7609">
      <w:pPr>
        <w:pStyle w:val="Ttulo2"/>
        <w:numPr>
          <w:ilvl w:val="0"/>
          <w:numId w:val="2"/>
        </w:numPr>
        <w:ind w:left="426" w:hanging="426"/>
      </w:pPr>
      <w:bookmarkStart w:id="90" w:name="_Toc74945887"/>
      <w:bookmarkStart w:id="91" w:name="_Toc76736535"/>
      <w:r>
        <w:t>Avaliação dos anos 2 e 4</w:t>
      </w:r>
      <w:bookmarkEnd w:id="90"/>
      <w:bookmarkEnd w:id="91"/>
    </w:p>
    <w:p w14:paraId="3B927F21" w14:textId="52D00032" w:rsidR="00F37DA1" w:rsidRDefault="004E7609">
      <w:pPr>
        <w:pStyle w:val="Indicator"/>
        <w:ind w:left="993" w:hanging="567"/>
      </w:pPr>
      <w:bookmarkStart w:id="92" w:name="_Hlk63330017"/>
      <w:r>
        <w:t>Nos anos 2 e 4, o OC deve usar os resultados do automonitoramento e as evidências fornecidas pelo usuário do PMC para decidir se uma avaliação é necessária ou não. Se uma avaliação for necessária, o</w:t>
      </w:r>
      <w:r w:rsidR="0042774D">
        <w:t xml:space="preserve"> </w:t>
      </w:r>
      <w:r>
        <w:t>OC deve decidir qual dos seguintes tipos de auditoria será implementada:</w:t>
      </w:r>
    </w:p>
    <w:p w14:paraId="50255982" w14:textId="012AD8A1" w:rsidR="00F37DA1" w:rsidRDefault="004E7609">
      <w:pPr>
        <w:pStyle w:val="P68B1DB1-Prrafodelista11"/>
        <w:numPr>
          <w:ilvl w:val="0"/>
          <w:numId w:val="46"/>
        </w:numPr>
        <w:tabs>
          <w:tab w:val="left" w:pos="6804"/>
        </w:tabs>
        <w:spacing w:before="120" w:after="120"/>
        <w:ind w:left="1418"/>
        <w:contextualSpacing w:val="0"/>
        <w:jc w:val="both"/>
      </w:pPr>
      <w:r>
        <w:rPr>
          <w:i/>
        </w:rPr>
        <w:t>Auditoria de campo</w:t>
      </w:r>
      <w:r>
        <w:t>: O OC deve implementar uma auditoria de campo.</w:t>
      </w:r>
    </w:p>
    <w:p w14:paraId="329682B9" w14:textId="3BF2F500" w:rsidR="00F37DA1" w:rsidRDefault="004E7609">
      <w:pPr>
        <w:pStyle w:val="P68B1DB1-Prrafodelista11"/>
        <w:numPr>
          <w:ilvl w:val="0"/>
          <w:numId w:val="46"/>
        </w:numPr>
        <w:tabs>
          <w:tab w:val="left" w:pos="6804"/>
        </w:tabs>
        <w:spacing w:before="120" w:after="120"/>
        <w:ind w:left="1418"/>
        <w:contextualSpacing w:val="0"/>
        <w:jc w:val="both"/>
      </w:pPr>
      <w:r>
        <w:rPr>
          <w:i/>
        </w:rPr>
        <w:t>Auditoria remota</w:t>
      </w:r>
      <w:r>
        <w:t>: O OC deve implementar uma auditoria remota ou documental com foco nos Critérios aplicáveis a serem cumpridos naquele ano. Na auditoria remota:</w:t>
      </w:r>
    </w:p>
    <w:p w14:paraId="5321CF5E" w14:textId="7A325544" w:rsidR="00F37DA1" w:rsidRDefault="004E7609">
      <w:pPr>
        <w:pStyle w:val="P68B1DB1-Prrafodelista11"/>
        <w:numPr>
          <w:ilvl w:val="3"/>
          <w:numId w:val="23"/>
        </w:numPr>
        <w:tabs>
          <w:tab w:val="left" w:pos="6804"/>
        </w:tabs>
        <w:spacing w:before="120" w:after="120"/>
        <w:ind w:left="2126" w:hanging="170"/>
        <w:contextualSpacing w:val="0"/>
        <w:jc w:val="both"/>
      </w:pPr>
      <w:r>
        <w:t>Os pedidos de documentação devem ser reduzidos ao mínimo.</w:t>
      </w:r>
    </w:p>
    <w:p w14:paraId="531D3305" w14:textId="0B56620F" w:rsidR="00F37DA1" w:rsidRDefault="004E7609">
      <w:pPr>
        <w:pStyle w:val="P68B1DB1-Prrafodelista11"/>
        <w:numPr>
          <w:ilvl w:val="3"/>
          <w:numId w:val="23"/>
        </w:numPr>
        <w:tabs>
          <w:tab w:val="left" w:pos="6804"/>
        </w:tabs>
        <w:spacing w:before="120" w:after="120"/>
        <w:ind w:left="2126" w:hanging="170"/>
        <w:contextualSpacing w:val="0"/>
        <w:jc w:val="both"/>
      </w:pPr>
      <w:r>
        <w:lastRenderedPageBreak/>
        <w:t>A Tecnologia da Informação e Comunicação (TIC), incluindo o Portal GIS do FSC, deve ser usada tanto quanto possível.</w:t>
      </w:r>
    </w:p>
    <w:p w14:paraId="223B39E9" w14:textId="0BFC84E0" w:rsidR="00F37DA1" w:rsidRDefault="004E7609">
      <w:pPr>
        <w:pStyle w:val="P68B1DB1-Prrafodelista11"/>
        <w:numPr>
          <w:ilvl w:val="3"/>
          <w:numId w:val="23"/>
        </w:numPr>
        <w:tabs>
          <w:tab w:val="left" w:pos="6804"/>
        </w:tabs>
        <w:spacing w:before="120" w:after="120"/>
        <w:ind w:left="2126" w:hanging="170"/>
        <w:contextualSpacing w:val="0"/>
        <w:jc w:val="both"/>
      </w:pPr>
      <w:r>
        <w:t>A auditoria remota deve ser orientada para a performance, com foco nas atividades de manejo implementadas pelo usuário do PMC.</w:t>
      </w:r>
    </w:p>
    <w:p w14:paraId="5529531F" w14:textId="7FEEE0C7" w:rsidR="00F37DA1" w:rsidRDefault="004E7609">
      <w:pPr>
        <w:pStyle w:val="P68B1DB1-Prrafodelista11"/>
        <w:numPr>
          <w:ilvl w:val="3"/>
          <w:numId w:val="23"/>
        </w:numPr>
        <w:tabs>
          <w:tab w:val="left" w:pos="6804"/>
        </w:tabs>
        <w:spacing w:before="120" w:after="120"/>
        <w:ind w:left="2126" w:hanging="170"/>
        <w:contextualSpacing w:val="0"/>
        <w:jc w:val="both"/>
      </w:pPr>
      <w:r>
        <w:t>Os requisitos administrativos devem ser verificados na próxima auditoria de campo.</w:t>
      </w:r>
    </w:p>
    <w:p w14:paraId="5C4672C9" w14:textId="761FDB1D" w:rsidR="00F37DA1" w:rsidRDefault="004E7609">
      <w:pPr>
        <w:pStyle w:val="Indicator"/>
        <w:ind w:left="993" w:hanging="567"/>
      </w:pPr>
      <w:r>
        <w:t xml:space="preserve">Quando houver uma reclamação </w:t>
      </w:r>
      <w:r w:rsidR="00D63C37">
        <w:t xml:space="preserve">de uma parte interessada </w:t>
      </w:r>
      <w:r>
        <w:t xml:space="preserve">não </w:t>
      </w:r>
      <w:proofErr w:type="gramStart"/>
      <w:r>
        <w:t>resolvida ,</w:t>
      </w:r>
      <w:proofErr w:type="gramEnd"/>
      <w:r>
        <w:t xml:space="preserve"> o OC deve contatar o usuário do PMC e as partes afetadas para acompanhar o status da reclamação e o processo para resolvê-la. Se for considerado necessário, este contato deve ser seguido por uma auditoria remota.</w:t>
      </w:r>
    </w:p>
    <w:p w14:paraId="39F720FD" w14:textId="73A1C79F" w:rsidR="00F37DA1" w:rsidRDefault="004E7609">
      <w:pPr>
        <w:pStyle w:val="Indicator"/>
        <w:ind w:left="993" w:hanging="567"/>
      </w:pPr>
      <w:bookmarkStart w:id="93" w:name="_Hlk63330052"/>
      <w:bookmarkEnd w:id="92"/>
      <w:r>
        <w:t>Quando o OC decidir implementar uma avaliação no ano 2 ou 4, o OC deve verificar se o usuário do PMC:</w:t>
      </w:r>
    </w:p>
    <w:bookmarkEnd w:id="93"/>
    <w:p w14:paraId="58B9561C" w14:textId="2B63A8F9" w:rsidR="00F37DA1" w:rsidRDefault="004E7609">
      <w:pPr>
        <w:pStyle w:val="P68B1DB1-Prrafodelista11"/>
        <w:numPr>
          <w:ilvl w:val="0"/>
          <w:numId w:val="5"/>
        </w:numPr>
        <w:tabs>
          <w:tab w:val="left" w:pos="6804"/>
        </w:tabs>
        <w:spacing w:before="120" w:after="120"/>
        <w:ind w:left="1418" w:hanging="425"/>
        <w:contextualSpacing w:val="0"/>
        <w:jc w:val="both"/>
      </w:pPr>
      <w:r>
        <w:t>Continua em conformidade com o</w:t>
      </w:r>
      <w:r w:rsidR="00D63C37">
        <w:t>s</w:t>
      </w:r>
      <w:r>
        <w:t xml:space="preserve"> </w:t>
      </w:r>
      <w:r w:rsidR="00D63C37">
        <w:t>CC</w:t>
      </w:r>
      <w:r>
        <w:t>;</w:t>
      </w:r>
    </w:p>
    <w:p w14:paraId="592965F5" w14:textId="3A7BE980" w:rsidR="00F37DA1" w:rsidRDefault="004E7609">
      <w:pPr>
        <w:pStyle w:val="P68B1DB1-Prrafodelista11"/>
        <w:numPr>
          <w:ilvl w:val="0"/>
          <w:numId w:val="5"/>
        </w:numPr>
        <w:tabs>
          <w:tab w:val="left" w:pos="6804"/>
        </w:tabs>
        <w:spacing w:before="120" w:after="120"/>
        <w:ind w:left="1418" w:hanging="425"/>
        <w:contextualSpacing w:val="0"/>
        <w:jc w:val="both"/>
      </w:pPr>
      <w:r>
        <w:t>Está em conformidade com o</w:t>
      </w:r>
      <w:r w:rsidR="00D63C37">
        <w:t>s</w:t>
      </w:r>
      <w:r>
        <w:t xml:space="preserve"> CMC alocado</w:t>
      </w:r>
      <w:r w:rsidR="00D63C37">
        <w:t>s</w:t>
      </w:r>
      <w:r>
        <w:t xml:space="preserve"> até aquele ano no Plano de Ação;</w:t>
      </w:r>
    </w:p>
    <w:p w14:paraId="5F099EB8" w14:textId="0BCCE69C" w:rsidR="00F37DA1" w:rsidRDefault="004E7609">
      <w:pPr>
        <w:pStyle w:val="P68B1DB1-Prrafodelista11"/>
        <w:numPr>
          <w:ilvl w:val="0"/>
          <w:numId w:val="5"/>
        </w:numPr>
        <w:ind w:left="1418" w:hanging="425"/>
        <w:jc w:val="both"/>
      </w:pPr>
      <w:r>
        <w:t>Está em conformidade com qualquer CCA que tenha sido ativado até aquele ano no Plano de Ação.</w:t>
      </w:r>
    </w:p>
    <w:p w14:paraId="65ADE3BD" w14:textId="51CAA985" w:rsidR="00F37DA1" w:rsidRDefault="004E7609">
      <w:pPr>
        <w:pStyle w:val="Ttulo2"/>
        <w:numPr>
          <w:ilvl w:val="0"/>
          <w:numId w:val="2"/>
        </w:numPr>
        <w:ind w:left="426" w:hanging="426"/>
      </w:pPr>
      <w:bookmarkStart w:id="94" w:name="_Toc67668869"/>
      <w:bookmarkStart w:id="95" w:name="_Toc67668870"/>
      <w:bookmarkStart w:id="96" w:name="_Toc67668871"/>
      <w:bookmarkStart w:id="97" w:name="_Toc67668872"/>
      <w:bookmarkStart w:id="98" w:name="_Toc74945888"/>
      <w:bookmarkStart w:id="99" w:name="_Toc76736536"/>
      <w:bookmarkEnd w:id="94"/>
      <w:bookmarkEnd w:id="95"/>
      <w:bookmarkEnd w:id="96"/>
      <w:bookmarkEnd w:id="97"/>
      <w:r>
        <w:t>Avaliação do ano 3</w:t>
      </w:r>
      <w:bookmarkEnd w:id="98"/>
      <w:bookmarkEnd w:id="99"/>
    </w:p>
    <w:p w14:paraId="7FFA4581" w14:textId="6B0DDCB1" w:rsidR="00F37DA1" w:rsidRDefault="004E7609">
      <w:pPr>
        <w:pStyle w:val="Indicator"/>
        <w:ind w:left="993" w:hanging="567"/>
      </w:pPr>
      <w:bookmarkStart w:id="100" w:name="_Hlk63329896"/>
      <w:r>
        <w:t xml:space="preserve">No ano três (3), o OC deve implementar uma auditoria remota com </w:t>
      </w:r>
      <w:r w:rsidR="002B636E">
        <w:t xml:space="preserve">apoio </w:t>
      </w:r>
      <w:r>
        <w:t xml:space="preserve">no </w:t>
      </w:r>
      <w:r w:rsidR="002B636E">
        <w:t xml:space="preserve">local </w:t>
      </w:r>
      <w:r>
        <w:t>por um especialista técnico para verificar se o usuário do PMC:</w:t>
      </w:r>
    </w:p>
    <w:p w14:paraId="4CCB8057" w14:textId="0DD86C5D" w:rsidR="00F37DA1" w:rsidRDefault="004E7609">
      <w:pPr>
        <w:pStyle w:val="P68B1DB1-Prrafodelista11"/>
        <w:numPr>
          <w:ilvl w:val="0"/>
          <w:numId w:val="9"/>
        </w:numPr>
        <w:tabs>
          <w:tab w:val="left" w:pos="6804"/>
        </w:tabs>
        <w:spacing w:before="120" w:after="120"/>
        <w:contextualSpacing w:val="0"/>
        <w:jc w:val="both"/>
      </w:pPr>
      <w:r>
        <w:t>Continua em conformidade com o</w:t>
      </w:r>
      <w:r w:rsidR="002B636E">
        <w:t>s</w:t>
      </w:r>
      <w:r>
        <w:t xml:space="preserve"> </w:t>
      </w:r>
      <w:r w:rsidR="002B636E">
        <w:t>CC</w:t>
      </w:r>
      <w:r>
        <w:t>;</w:t>
      </w:r>
    </w:p>
    <w:p w14:paraId="2A7D08BF" w14:textId="2AA8EE4A" w:rsidR="00F37DA1" w:rsidRDefault="004E7609">
      <w:pPr>
        <w:pStyle w:val="P68B1DB1-Prrafodelista11"/>
        <w:numPr>
          <w:ilvl w:val="0"/>
          <w:numId w:val="9"/>
        </w:numPr>
      </w:pPr>
      <w:r>
        <w:t>Está em conformidade com o</w:t>
      </w:r>
      <w:r w:rsidR="002B636E">
        <w:t>s</w:t>
      </w:r>
      <w:r>
        <w:t xml:space="preserve"> CMC alocado</w:t>
      </w:r>
      <w:r w:rsidR="002B636E">
        <w:t>s</w:t>
      </w:r>
      <w:r>
        <w:t xml:space="preserve"> para os primeiros três (3) anos do Plano de Ação;</w:t>
      </w:r>
    </w:p>
    <w:p w14:paraId="5186C07C" w14:textId="33E60983" w:rsidR="00F37DA1" w:rsidRDefault="004E7609">
      <w:pPr>
        <w:pStyle w:val="P68B1DB1-Prrafodelista11"/>
        <w:numPr>
          <w:ilvl w:val="0"/>
          <w:numId w:val="9"/>
        </w:numPr>
        <w:tabs>
          <w:tab w:val="left" w:pos="6804"/>
        </w:tabs>
        <w:spacing w:before="120" w:after="120"/>
        <w:contextualSpacing w:val="0"/>
        <w:jc w:val="both"/>
      </w:pPr>
      <w:r>
        <w:t>Está em conformidade com qualquer CCA que tenha sido ativado nos primeiros três (3) anos do Plano de Ação.</w:t>
      </w:r>
    </w:p>
    <w:p w14:paraId="4E45955C" w14:textId="422E82C5" w:rsidR="00F37DA1" w:rsidRDefault="004E7609">
      <w:pPr>
        <w:pStyle w:val="Indicator"/>
        <w:ind w:left="993" w:hanging="567"/>
      </w:pPr>
      <w:r>
        <w:t>O OC deve analisar os resultados da auditoria remota e as contribuições do especialista técnico e decidir se uma auditoria de campo é necessária para verificar se o usuário do PMC está em conformidade com os itens a, b e c da Cláusula 10.1.</w:t>
      </w:r>
    </w:p>
    <w:p w14:paraId="787FCECA" w14:textId="77777777" w:rsidR="00F37DA1" w:rsidRDefault="004E7609">
      <w:pPr>
        <w:pStyle w:val="Ttulo2"/>
        <w:numPr>
          <w:ilvl w:val="0"/>
          <w:numId w:val="2"/>
        </w:numPr>
      </w:pPr>
      <w:bookmarkStart w:id="101" w:name="_Toc74945889"/>
      <w:bookmarkStart w:id="102" w:name="_Toc76736537"/>
      <w:bookmarkEnd w:id="100"/>
      <w:r>
        <w:t>Reavaliação</w:t>
      </w:r>
      <w:bookmarkEnd w:id="101"/>
      <w:bookmarkEnd w:id="102"/>
    </w:p>
    <w:p w14:paraId="5A2D1CC8" w14:textId="77777777" w:rsidR="00F37DA1" w:rsidRDefault="004E7609">
      <w:pPr>
        <w:pStyle w:val="Indicator"/>
        <w:ind w:left="993" w:hanging="567"/>
      </w:pPr>
      <w:r>
        <w:t>Para a reavaliação no ano cinco (5), o OC deve implementar uma auditoria de campo para verificar se o usuário do PMC está em conformidade com todos os critérios do padrão FSC aplicável.</w:t>
      </w:r>
    </w:p>
    <w:p w14:paraId="4679FC36" w14:textId="0BBC4326" w:rsidR="00F37DA1" w:rsidRDefault="00F37DA1">
      <w:pPr>
        <w:tabs>
          <w:tab w:val="left" w:pos="6804"/>
        </w:tabs>
        <w:spacing w:before="120" w:after="120"/>
        <w:jc w:val="both"/>
      </w:pPr>
    </w:p>
    <w:p w14:paraId="03CA6BC5" w14:textId="77777777" w:rsidR="00F37DA1" w:rsidRDefault="00F37DA1">
      <w:pPr>
        <w:tabs>
          <w:tab w:val="left" w:pos="6804"/>
        </w:tabs>
        <w:spacing w:before="120" w:after="120"/>
      </w:pPr>
    </w:p>
    <w:p w14:paraId="238FA261" w14:textId="77777777" w:rsidR="00F37DA1" w:rsidRDefault="00F37DA1">
      <w:pPr>
        <w:spacing w:before="120" w:after="120"/>
        <w:rPr>
          <w:rFonts w:ascii="Arial" w:hAnsi="Arial" w:cs="Arial"/>
        </w:rPr>
        <w:sectPr w:rsidR="00F37DA1" w:rsidSect="0050678D">
          <w:headerReference w:type="default" r:id="rId24"/>
          <w:footerReference w:type="default" r:id="rId25"/>
          <w:headerReference w:type="first" r:id="rId26"/>
          <w:footerReference w:type="first" r:id="rId27"/>
          <w:pgSz w:w="11900" w:h="16840"/>
          <w:pgMar w:top="1134" w:right="843" w:bottom="1440" w:left="1134" w:header="708" w:footer="179" w:gutter="0"/>
          <w:cols w:space="708"/>
          <w:titlePg/>
          <w:docGrid w:linePitch="360"/>
        </w:sectPr>
      </w:pPr>
    </w:p>
    <w:p w14:paraId="2940A629" w14:textId="530BB111" w:rsidR="00F37DA1" w:rsidRDefault="00F37DA1">
      <w:pPr>
        <w:spacing w:before="120" w:after="120"/>
        <w:jc w:val="both"/>
      </w:pPr>
    </w:p>
    <w:p w14:paraId="164C58A3" w14:textId="198EDFA8" w:rsidR="00F37DA1" w:rsidRDefault="004E7609">
      <w:pPr>
        <w:pStyle w:val="Ttulo1"/>
      </w:pPr>
      <w:bookmarkStart w:id="103" w:name="_Toc74945890"/>
      <w:bookmarkStart w:id="104" w:name="_Toc76736538"/>
      <w:r>
        <w:t>Anexo 1: Modelo de autoavaliação</w:t>
      </w:r>
      <w:bookmarkEnd w:id="103"/>
      <w:bookmarkEnd w:id="104"/>
    </w:p>
    <w:p w14:paraId="2AE045AD" w14:textId="1614675B" w:rsidR="00F37DA1" w:rsidRDefault="004E7609">
      <w:pPr>
        <w:pStyle w:val="P68B1DB1-Normal6"/>
      </w:pPr>
      <w:r>
        <w:t xml:space="preserve">O modelo de autoavaliação pode ser encontrado em um arquivo Excel anexado. (em desenvolvimento) </w:t>
      </w:r>
    </w:p>
    <w:p w14:paraId="1F81DE8C" w14:textId="75E8DAE6" w:rsidR="00F37DA1" w:rsidRDefault="004E7609">
      <w:pPr>
        <w:pStyle w:val="Ttulo1"/>
      </w:pPr>
      <w:bookmarkStart w:id="105" w:name="_Toc74945891"/>
      <w:bookmarkStart w:id="106" w:name="_Toc76736539"/>
      <w:r>
        <w:t>Anexo 2: Modelo do Plano de Ação</w:t>
      </w:r>
      <w:bookmarkEnd w:id="105"/>
      <w:bookmarkEnd w:id="106"/>
    </w:p>
    <w:p w14:paraId="61B98A6A" w14:textId="5F18BF5F" w:rsidR="00F37DA1" w:rsidRDefault="004E7609">
      <w:pPr>
        <w:pStyle w:val="P68B1DB1-Normal6"/>
      </w:pPr>
      <w:r>
        <w:t>O modelo do Plano de Ação pode ser encontrado em um arquivo Excel anexado.</w:t>
      </w:r>
    </w:p>
    <w:p w14:paraId="537286B0" w14:textId="6BA5EC58" w:rsidR="00F37DA1" w:rsidRDefault="00F37DA1">
      <w:pPr>
        <w:rPr>
          <w:rFonts w:ascii="Arial" w:hAnsi="Arial" w:cs="Arial"/>
          <w:sz w:val="22"/>
        </w:rPr>
      </w:pPr>
    </w:p>
    <w:p w14:paraId="5768E713" w14:textId="77777777" w:rsidR="00F37DA1" w:rsidRDefault="00F37DA1">
      <w:pPr>
        <w:rPr>
          <w:rFonts w:ascii="Arial" w:hAnsi="Arial" w:cs="Arial"/>
          <w:sz w:val="22"/>
        </w:rPr>
      </w:pPr>
    </w:p>
    <w:p w14:paraId="1A299E67" w14:textId="77777777" w:rsidR="00F37DA1" w:rsidRDefault="00F37DA1">
      <w:pPr>
        <w:spacing w:before="120" w:after="120"/>
        <w:rPr>
          <w:rFonts w:ascii="Arial" w:hAnsi="Arial" w:cs="Arial"/>
        </w:rPr>
        <w:sectPr w:rsidR="00F37DA1" w:rsidSect="00DE49AB">
          <w:headerReference w:type="first" r:id="rId28"/>
          <w:footerReference w:type="first" r:id="rId29"/>
          <w:pgSz w:w="11900" w:h="16840"/>
          <w:pgMar w:top="1440" w:right="709" w:bottom="1440" w:left="567" w:header="708" w:footer="179" w:gutter="0"/>
          <w:cols w:space="708"/>
          <w:titlePg/>
          <w:docGrid w:linePitch="360"/>
        </w:sectPr>
      </w:pPr>
    </w:p>
    <w:p w14:paraId="3387D411" w14:textId="228FE841" w:rsidR="00F37DA1" w:rsidRDefault="00F37DA1">
      <w:pPr>
        <w:spacing w:before="120" w:after="120"/>
        <w:rPr>
          <w:rFonts w:ascii="Arial" w:hAnsi="Arial" w:cs="Arial"/>
        </w:rPr>
      </w:pPr>
    </w:p>
    <w:sectPr w:rsidR="00F37DA1">
      <w:headerReference w:type="first" r:id="rId30"/>
      <w:footerReference w:type="first" r:id="rId31"/>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BF768" w14:textId="77777777" w:rsidR="000067D6" w:rsidRDefault="000067D6">
      <w:r>
        <w:separator/>
      </w:r>
    </w:p>
  </w:endnote>
  <w:endnote w:type="continuationSeparator" w:id="0">
    <w:p w14:paraId="3D045852" w14:textId="77777777" w:rsidR="000067D6" w:rsidRDefault="000067D6">
      <w:r>
        <w:continuationSeparator/>
      </w:r>
    </w:p>
  </w:endnote>
  <w:endnote w:type="continuationNotice" w:id="1">
    <w:p w14:paraId="7183DC0F" w14:textId="77777777" w:rsidR="000067D6" w:rsidRDefault="00006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 Bold">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B8DB1" w14:textId="77777777" w:rsidR="005B50B0" w:rsidRDefault="005B50B0">
    <w:pPr>
      <w:pStyle w:val="P68B1DB1-Normal33"/>
      <w:spacing w:before="120" w:after="120"/>
    </w:pPr>
    <w:r>
      <w:rPr>
        <w:noProof/>
      </w:rPr>
      <mc:AlternateContent>
        <mc:Choice Requires="wps">
          <w:drawing>
            <wp:anchor distT="0" distB="0" distL="114300" distR="114300" simplePos="0" relativeHeight="251659776" behindDoc="0" locked="0" layoutInCell="1" allowOverlap="1" wp14:anchorId="2835FE3B" wp14:editId="16B019FC">
              <wp:simplePos x="0" y="0"/>
              <wp:positionH relativeFrom="margin">
                <wp:posOffset>-758521</wp:posOffset>
              </wp:positionH>
              <wp:positionV relativeFrom="paragraph">
                <wp:posOffset>240665</wp:posOffset>
              </wp:positionV>
              <wp:extent cx="766468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C9403" id="Straight Connector 7"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75pt,18.95pt" to="54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" strokecolor="#61b231" strokeweight="2pt">
              <w10:wrap anchorx="margin"/>
            </v:line>
          </w:pict>
        </mc:Fallback>
      </mc:AlternateContent>
    </w:r>
  </w:p>
  <w:p w14:paraId="07FB7408" w14:textId="620BE51F" w:rsidR="005B50B0" w:rsidRDefault="005B50B0">
    <w:pPr>
      <w:pStyle w:val="P68B1DB1-Piedepgina34"/>
      <w:jc w:val="center"/>
    </w:pPr>
    <w:r>
      <w:t>FSC-PRO-30-011 V1-0</w:t>
    </w:r>
  </w:p>
  <w:p w14:paraId="34E23934" w14:textId="74C15D4D" w:rsidR="005B50B0" w:rsidRDefault="005B50B0">
    <w:pPr>
      <w:pStyle w:val="P68B1DB1-Piedepgina35"/>
      <w:jc w:val="center"/>
      <w:rPr>
        <w:caps/>
      </w:rPr>
    </w:pPr>
    <w:r>
      <w:t>Processo de Melhoria Contínua</w:t>
    </w:r>
  </w:p>
  <w:p w14:paraId="3A202D0D" w14:textId="03BADC56" w:rsidR="005B50B0" w:rsidRDefault="005B50B0">
    <w:pPr>
      <w:pStyle w:val="Rodap"/>
      <w:jc w:val="center"/>
    </w:pPr>
    <w:r>
      <w:rPr>
        <w:rStyle w:val="Nmerodepgina"/>
        <w:rFonts w:ascii="Arial" w:hAnsi="Arial" w:cs="Arial"/>
        <w:b/>
        <w:sz w:val="18"/>
      </w:rPr>
      <w:t xml:space="preserve">–  </w:t>
    </w:r>
    <w:r>
      <w:rPr>
        <w:rStyle w:val="Nmerodepgina"/>
        <w:rFonts w:ascii="Arial" w:hAnsi="Arial" w:cs="Arial"/>
        <w:b/>
        <w:sz w:val="18"/>
      </w:rPr>
      <w:fldChar w:fldCharType="begin"/>
    </w:r>
    <w:r>
      <w:rPr>
        <w:rStyle w:val="Nmerodepgina"/>
        <w:rFonts w:ascii="Arial" w:hAnsi="Arial" w:cs="Arial"/>
        <w:b/>
        <w:sz w:val="18"/>
      </w:rPr>
      <w:instrText xml:space="preserve"> PAGE </w:instrText>
    </w:r>
    <w:r>
      <w:rPr>
        <w:rStyle w:val="Nmerodepgina"/>
        <w:rFonts w:ascii="Arial" w:hAnsi="Arial" w:cs="Arial"/>
        <w:b/>
        <w:sz w:val="18"/>
      </w:rPr>
      <w:fldChar w:fldCharType="separate"/>
    </w:r>
    <w:r>
      <w:rPr>
        <w:rStyle w:val="Nmerodepgina"/>
        <w:rFonts w:ascii="Arial" w:hAnsi="Arial" w:cs="Arial"/>
        <w:b/>
        <w:sz w:val="18"/>
      </w:rPr>
      <w:t>2</w:t>
    </w:r>
    <w:r>
      <w:rPr>
        <w:rStyle w:val="Nmerodepgina"/>
        <w:rFonts w:ascii="Arial" w:hAnsi="Arial" w:cs="Arial"/>
        <w:b/>
        <w:sz w:val="18"/>
      </w:rPr>
      <w:fldChar w:fldCharType="end"/>
    </w:r>
    <w:r>
      <w:rPr>
        <w:rStyle w:val="Nmerodepgina"/>
        <w:rFonts w:ascii="Arial" w:hAnsi="Arial" w:cs="Arial"/>
        <w:b/>
        <w:sz w:val="18"/>
      </w:rPr>
      <w:t xml:space="preserve"> de  </w:t>
    </w:r>
    <w:r>
      <w:rPr>
        <w:rStyle w:val="Nmerodepgina"/>
        <w:rFonts w:ascii="Arial" w:hAnsi="Arial" w:cs="Arial"/>
        <w:b/>
        <w:sz w:val="18"/>
      </w:rPr>
      <w:fldChar w:fldCharType="begin"/>
    </w:r>
    <w:r>
      <w:rPr>
        <w:rStyle w:val="Nmerodepgina"/>
        <w:rFonts w:ascii="Arial" w:hAnsi="Arial" w:cs="Arial"/>
        <w:b/>
        <w:sz w:val="18"/>
      </w:rPr>
      <w:instrText xml:space="preserve"> NUMPAGES </w:instrText>
    </w:r>
    <w:r>
      <w:rPr>
        <w:rStyle w:val="Nmerodepgina"/>
        <w:rFonts w:ascii="Arial" w:hAnsi="Arial" w:cs="Arial"/>
        <w:b/>
        <w:sz w:val="18"/>
      </w:rPr>
      <w:fldChar w:fldCharType="separate"/>
    </w:r>
    <w:r>
      <w:rPr>
        <w:rStyle w:val="Nmerodepgina"/>
        <w:rFonts w:ascii="Arial" w:hAnsi="Arial" w:cs="Arial"/>
        <w:b/>
        <w:sz w:val="18"/>
      </w:rPr>
      <w:t>2</w:t>
    </w:r>
    <w:r>
      <w:rPr>
        <w:rStyle w:val="Nmerodepgina"/>
        <w:rFonts w:ascii="Arial" w:hAnsi="Arial" w:cs="Arial"/>
        <w:b/>
        <w:sz w:val="18"/>
      </w:rPr>
      <w:fldChar w:fldCharType="end"/>
    </w:r>
    <w:r>
      <w:rPr>
        <w:rStyle w:val="Nmerodepgina"/>
        <w:rFonts w:ascii="Arial" w:hAnsi="Arial" w:cs="Arial"/>
        <w:b/>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981A" w14:textId="505796B9" w:rsidR="005B50B0" w:rsidRDefault="005B50B0">
    <w:pPr>
      <w:pStyle w:val="Rodap"/>
    </w:pPr>
    <w:r>
      <w:rPr>
        <w:noProof/>
        <w:sz w:val="16"/>
      </w:rPr>
      <mc:AlternateContent>
        <mc:Choice Requires="wps">
          <w:drawing>
            <wp:anchor distT="0" distB="0" distL="114300" distR="114300" simplePos="0" relativeHeight="251655680" behindDoc="0" locked="0" layoutInCell="1" allowOverlap="1" wp14:anchorId="3B212C18" wp14:editId="3E034AE7">
              <wp:simplePos x="0" y="0"/>
              <wp:positionH relativeFrom="column">
                <wp:posOffset>-481491</wp:posOffset>
              </wp:positionH>
              <wp:positionV relativeFrom="paragraph">
                <wp:posOffset>-114300</wp:posOffset>
              </wp:positionV>
              <wp:extent cx="3724275"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24275" cy="285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4B256CC7" w14:textId="6A1331DF" w:rsidR="005B50B0" w:rsidRDefault="005B50B0">
                          <w:pPr>
                            <w:pStyle w:val="P68B1DB1-Normal32"/>
                          </w:pPr>
                          <w:r>
                            <w:t>Todos os direitos reservados FSC</w:t>
                          </w:r>
                          <w:r>
                            <w:rPr>
                              <w:vertAlign w:val="superscript"/>
                            </w:rPr>
                            <w:t>®</w:t>
                          </w:r>
                          <w:r>
                            <w:t xml:space="preserve"> International 2019-2020 FSC</w:t>
                          </w:r>
                          <w:r>
                            <w:rPr>
                              <w:vertAlign w:val="superscript"/>
                            </w:rPr>
                            <w:t>®</w:t>
                          </w:r>
                          <w: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12C18" id="_x0000_t202" coordsize="21600,21600" o:spt="202" path="m,l,21600r21600,l21600,xe">
              <v:stroke joinstyle="miter"/>
              <v:path gradientshapeok="t" o:connecttype="rect"/>
            </v:shapetype>
            <v:shape id="Text Box 5" o:spid="_x0000_s1032" type="#_x0000_t202" style="position:absolute;margin-left:-37.9pt;margin-top:-9pt;width:293.2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" filled="f" stroked="f">
              <v:textbox>
                <w:txbxContent>
                  <w:p w14:paraId="4B256CC7" w14:textId="6A1331DF" w:rsidR="005B50B0" w:rsidRDefault="005B50B0">
                    <w:pPr>
                      <w:pStyle w:val="P68B1DB1-Normal32"/>
                    </w:pPr>
                    <w:r>
                      <w:t>Todos os direitos reservados FSC</w:t>
                    </w:r>
                    <w:r>
                      <w:rPr>
                        <w:vertAlign w:val="superscript"/>
                      </w:rPr>
                      <w:t>®</w:t>
                    </w:r>
                    <w:r>
                      <w:t xml:space="preserve"> International 2019-2020 FSC</w:t>
                    </w:r>
                    <w:r>
                      <w:rPr>
                        <w:vertAlign w:val="superscript"/>
                      </w:rPr>
                      <w:t>®</w:t>
                    </w:r>
                    <w:r>
                      <w:t>F000100</w:t>
                    </w:r>
                  </w:p>
                </w:txbxContent>
              </v:textbox>
            </v:shape>
          </w:pict>
        </mc:Fallback>
      </mc:AlternateContent>
    </w:r>
    <w:r>
      <w:rPr>
        <w:noProof/>
      </w:rPr>
      <w:drawing>
        <wp:anchor distT="0" distB="0" distL="114300" distR="114300" simplePos="0" relativeHeight="251653632" behindDoc="1" locked="0" layoutInCell="1" allowOverlap="1" wp14:anchorId="2DBC432D" wp14:editId="3FF187B1">
          <wp:simplePos x="0" y="0"/>
          <wp:positionH relativeFrom="page">
            <wp:align>left</wp:align>
          </wp:positionH>
          <wp:positionV relativeFrom="paragraph">
            <wp:posOffset>-1035050</wp:posOffset>
          </wp:positionV>
          <wp:extent cx="7586980" cy="1317625"/>
          <wp:effectExtent l="0" t="0" r="0" b="0"/>
          <wp:wrapNone/>
          <wp:docPr id="69" name="Picture 78" descr="/Users/m.simo/Desktop/PSU 2018/headers PSU 20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simo/Desktop/PSU 2018/headers PSU 2018-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B2D1" w14:textId="1A50101D" w:rsidR="005B50B0" w:rsidRDefault="005B50B0">
    <w:pPr>
      <w:pStyle w:val="P68B1DB1-Normal33"/>
      <w:spacing w:before="120" w:after="120"/>
    </w:pPr>
    <w:r>
      <w:rPr>
        <w:noProof/>
      </w:rPr>
      <mc:AlternateContent>
        <mc:Choice Requires="wps">
          <w:drawing>
            <wp:anchor distT="0" distB="0" distL="114300" distR="114300" simplePos="0" relativeHeight="251658752" behindDoc="0" locked="0" layoutInCell="1" allowOverlap="1" wp14:anchorId="18F175B9" wp14:editId="0C86E7B4">
              <wp:simplePos x="0" y="0"/>
              <wp:positionH relativeFrom="column">
                <wp:posOffset>-1210945</wp:posOffset>
              </wp:positionH>
              <wp:positionV relativeFrom="paragraph">
                <wp:posOffset>240665</wp:posOffset>
              </wp:positionV>
              <wp:extent cx="7664683" cy="0"/>
              <wp:effectExtent l="0" t="0" r="31750" b="25400"/>
              <wp:wrapNone/>
              <wp:docPr id="27" name="Straight Connector 2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9ED24" id="Straight Connector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8.95pt" to="508.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" strokecolor="#61b231" strokeweight="2pt"/>
          </w:pict>
        </mc:Fallback>
      </mc:AlternateContent>
    </w:r>
  </w:p>
  <w:p w14:paraId="680EBD1C" w14:textId="77777777" w:rsidR="005B50B0" w:rsidRPr="00DB3C6B" w:rsidRDefault="005B50B0">
    <w:pPr>
      <w:pStyle w:val="P68B1DB1-Piedepgina34"/>
      <w:jc w:val="center"/>
      <w:rPr>
        <w:lang w:val="en-US"/>
      </w:rPr>
    </w:pPr>
    <w:r w:rsidRPr="00DB3C6B">
      <w:rPr>
        <w:lang w:val="en-US"/>
      </w:rPr>
      <w:t>FSC-PRO-XX-XXX V1-0</w:t>
    </w:r>
  </w:p>
  <w:p w14:paraId="1879DC6D" w14:textId="77777777" w:rsidR="005B50B0" w:rsidRDefault="005B50B0">
    <w:pPr>
      <w:pStyle w:val="P68B1DB1-Piedepgina35"/>
      <w:jc w:val="center"/>
      <w:rPr>
        <w:caps/>
      </w:rPr>
    </w:pPr>
    <w:r>
      <w:t>Processo de Melhoria Contínua</w:t>
    </w:r>
  </w:p>
  <w:p w14:paraId="783AC2A2" w14:textId="45FA0DC9" w:rsidR="005B50B0" w:rsidRDefault="005B50B0">
    <w:pPr>
      <w:pStyle w:val="Rodap"/>
      <w:jc w:val="center"/>
    </w:pPr>
    <w:r>
      <w:rPr>
        <w:rStyle w:val="Nmerodepgina"/>
        <w:rFonts w:ascii="Arial" w:hAnsi="Arial" w:cs="Arial"/>
        <w:b/>
        <w:sz w:val="18"/>
      </w:rPr>
      <w:t xml:space="preserve">–  </w:t>
    </w:r>
    <w:r>
      <w:rPr>
        <w:rStyle w:val="Nmerodepgina"/>
        <w:rFonts w:ascii="Arial" w:hAnsi="Arial" w:cs="Arial"/>
        <w:b/>
        <w:sz w:val="18"/>
      </w:rPr>
      <w:fldChar w:fldCharType="begin"/>
    </w:r>
    <w:r>
      <w:rPr>
        <w:rStyle w:val="Nmerodepgina"/>
        <w:rFonts w:ascii="Arial" w:hAnsi="Arial" w:cs="Arial"/>
        <w:b/>
        <w:sz w:val="18"/>
      </w:rPr>
      <w:instrText xml:space="preserve"> PAGE </w:instrText>
    </w:r>
    <w:r>
      <w:rPr>
        <w:rStyle w:val="Nmerodepgina"/>
        <w:rFonts w:ascii="Arial" w:hAnsi="Arial" w:cs="Arial"/>
        <w:b/>
        <w:sz w:val="18"/>
      </w:rPr>
      <w:fldChar w:fldCharType="separate"/>
    </w:r>
    <w:r>
      <w:rPr>
        <w:rStyle w:val="Nmerodepgina"/>
        <w:rFonts w:ascii="Arial" w:hAnsi="Arial" w:cs="Arial"/>
        <w:b/>
        <w:sz w:val="18"/>
      </w:rPr>
      <w:t>12</w:t>
    </w:r>
    <w:r>
      <w:rPr>
        <w:rStyle w:val="Nmerodepgina"/>
        <w:rFonts w:ascii="Arial" w:hAnsi="Arial" w:cs="Arial"/>
        <w:b/>
        <w:sz w:val="18"/>
      </w:rPr>
      <w:fldChar w:fldCharType="end"/>
    </w:r>
    <w:r>
      <w:rPr>
        <w:rStyle w:val="Nmerodepgina"/>
        <w:rFonts w:ascii="Arial" w:hAnsi="Arial" w:cs="Arial"/>
        <w:b/>
        <w:sz w:val="18"/>
      </w:rPr>
      <w:t xml:space="preserve"> de  </w:t>
    </w:r>
    <w:r>
      <w:rPr>
        <w:rStyle w:val="Nmerodepgina"/>
        <w:rFonts w:ascii="Arial" w:hAnsi="Arial" w:cs="Arial"/>
        <w:b/>
        <w:sz w:val="18"/>
      </w:rPr>
      <w:fldChar w:fldCharType="begin"/>
    </w:r>
    <w:r>
      <w:rPr>
        <w:rStyle w:val="Nmerodepgina"/>
        <w:rFonts w:ascii="Arial" w:hAnsi="Arial" w:cs="Arial"/>
        <w:b/>
        <w:sz w:val="18"/>
      </w:rPr>
      <w:instrText xml:space="preserve"> NUMPAGES </w:instrText>
    </w:r>
    <w:r>
      <w:rPr>
        <w:rStyle w:val="Nmerodepgina"/>
        <w:rFonts w:ascii="Arial" w:hAnsi="Arial" w:cs="Arial"/>
        <w:b/>
        <w:sz w:val="18"/>
      </w:rPr>
      <w:fldChar w:fldCharType="separate"/>
    </w:r>
    <w:r>
      <w:rPr>
        <w:rStyle w:val="Nmerodepgina"/>
        <w:rFonts w:ascii="Arial" w:hAnsi="Arial" w:cs="Arial"/>
        <w:b/>
        <w:sz w:val="18"/>
      </w:rPr>
      <w:t>14</w:t>
    </w:r>
    <w:r>
      <w:rPr>
        <w:rStyle w:val="Nmerodepgina"/>
        <w:rFonts w:ascii="Arial" w:hAnsi="Arial" w:cs="Arial"/>
        <w:b/>
        <w:sz w:val="18"/>
      </w:rPr>
      <w:fldChar w:fldCharType="end"/>
    </w:r>
    <w:r>
      <w:rPr>
        <w:rStyle w:val="Nmerodepgina"/>
        <w:rFonts w:ascii="Arial" w:hAnsi="Arial" w:cs="Arial"/>
        <w:b/>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DBF37" w14:textId="0711FDB2" w:rsidR="005B50B0" w:rsidRDefault="005B50B0">
    <w:pPr>
      <w:pStyle w:val="Rodap"/>
    </w:pPr>
    <w:r>
      <w:rPr>
        <w:noProof/>
      </w:rPr>
      <mc:AlternateContent>
        <mc:Choice Requires="wps">
          <w:drawing>
            <wp:anchor distT="0" distB="0" distL="114300" distR="114300" simplePos="0" relativeHeight="251660800" behindDoc="0" locked="0" layoutInCell="1" allowOverlap="1" wp14:anchorId="74EE5713" wp14:editId="768F5981">
              <wp:simplePos x="0" y="0"/>
              <wp:positionH relativeFrom="margin">
                <wp:posOffset>1371600</wp:posOffset>
              </wp:positionH>
              <wp:positionV relativeFrom="paragraph">
                <wp:posOffset>-3965575</wp:posOffset>
              </wp:positionV>
              <wp:extent cx="2832100" cy="2400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2832100" cy="2400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254EF501" w14:textId="2CA2B877" w:rsidR="005B50B0" w:rsidRDefault="005B50B0">
                          <w:pPr>
                            <w:pStyle w:val="P68B1DB1-Normal32"/>
                          </w:pPr>
                          <w:r>
                            <w:t>Todos os direitos reservados FSC</w:t>
                          </w:r>
                          <w:r>
                            <w:rPr>
                              <w:vertAlign w:val="superscript"/>
                            </w:rPr>
                            <w:t>®</w:t>
                          </w:r>
                          <w:r>
                            <w:t xml:space="preserve"> International 2020 FSC</w:t>
                          </w:r>
                          <w:r>
                            <w:rPr>
                              <w:vertAlign w:val="superscript"/>
                            </w:rPr>
                            <w:t>®</w:t>
                          </w:r>
                          <w: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E5713" id="_x0000_t202" coordsize="21600,21600" o:spt="202" path="m,l,21600r21600,l21600,xe">
              <v:stroke joinstyle="miter"/>
              <v:path gradientshapeok="t" o:connecttype="rect"/>
            </v:shapetype>
            <v:shape id="Text Box 30" o:spid="_x0000_s1033" type="#_x0000_t202" style="position:absolute;margin-left:108pt;margin-top:-312.25pt;width:223pt;height:18.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" filled="f" stroked="f">
              <v:textbox>
                <w:txbxContent>
                  <w:p w14:paraId="254EF501" w14:textId="2CA2B877" w:rsidR="005B50B0" w:rsidRDefault="005B50B0">
                    <w:pPr>
                      <w:pStyle w:val="P68B1DB1-Normal32"/>
                    </w:pPr>
                    <w:r>
                      <w:t>Todos os direitos reservados FSC</w:t>
                    </w:r>
                    <w:r>
                      <w:rPr>
                        <w:vertAlign w:val="superscript"/>
                      </w:rPr>
                      <w:t>®</w:t>
                    </w:r>
                    <w:r>
                      <w:t xml:space="preserve"> International 2020 FSC</w:t>
                    </w:r>
                    <w:r>
                      <w:rPr>
                        <w:vertAlign w:val="superscript"/>
                      </w:rPr>
                      <w:t>®</w:t>
                    </w:r>
                    <w:r>
                      <w:t>F000100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8B15E" w14:textId="77777777" w:rsidR="000067D6" w:rsidRDefault="000067D6">
      <w:r>
        <w:separator/>
      </w:r>
    </w:p>
  </w:footnote>
  <w:footnote w:type="continuationSeparator" w:id="0">
    <w:p w14:paraId="2E87D01E" w14:textId="77777777" w:rsidR="000067D6" w:rsidRDefault="000067D6">
      <w:r>
        <w:continuationSeparator/>
      </w:r>
    </w:p>
  </w:footnote>
  <w:footnote w:type="continuationNotice" w:id="1">
    <w:p w14:paraId="012B672A" w14:textId="77777777" w:rsidR="000067D6" w:rsidRDefault="000067D6"/>
  </w:footnote>
  <w:footnote w:id="2">
    <w:p w14:paraId="6D182674" w14:textId="108304F6" w:rsidR="005B50B0" w:rsidRDefault="005B50B0">
      <w:pPr>
        <w:pStyle w:val="Textodenotaderodap"/>
        <w:jc w:val="both"/>
        <w:rPr>
          <w:rFonts w:ascii="Arial" w:hAnsi="Arial" w:cs="Arial"/>
        </w:rPr>
      </w:pPr>
      <w:r>
        <w:rPr>
          <w:rStyle w:val="Refdenotaderodap"/>
          <w:rFonts w:ascii="Arial" w:hAnsi="Arial" w:cs="Arial"/>
        </w:rPr>
        <w:footnoteRef/>
      </w:r>
      <w:r>
        <w:rPr>
          <w:rFonts w:ascii="Arial" w:hAnsi="Arial" w:cs="Arial"/>
          <w:sz w:val="18"/>
        </w:rPr>
        <w:t xml:space="preserve">Consulte FSC-PRO-60-007 </w:t>
      </w:r>
      <w:r>
        <w:rPr>
          <w:rFonts w:ascii="Arial" w:hAnsi="Arial" w:cs="Arial"/>
          <w:i/>
          <w:sz w:val="18"/>
        </w:rPr>
        <w:t xml:space="preserve">Estrutura, Conteúdo e Desenvolvimento de Padrões Nacionais </w:t>
      </w:r>
      <w:r w:rsidR="00CE6CA3">
        <w:rPr>
          <w:rFonts w:ascii="Arial" w:hAnsi="Arial" w:cs="Arial"/>
          <w:i/>
          <w:sz w:val="18"/>
        </w:rPr>
        <w:t>Interinos</w:t>
      </w:r>
      <w:r w:rsidR="00CE6CA3">
        <w:rPr>
          <w:rFonts w:ascii="Arial" w:hAnsi="Arial" w:cs="Arial"/>
          <w:sz w:val="18"/>
        </w:rPr>
        <w:t xml:space="preserve"> </w:t>
      </w:r>
      <w:r>
        <w:rPr>
          <w:rFonts w:ascii="Arial" w:hAnsi="Arial" w:cs="Arial"/>
          <w:sz w:val="18"/>
        </w:rPr>
        <w:t xml:space="preserve">para a definição de “Padrão Nacional </w:t>
      </w:r>
      <w:r w:rsidR="00CE6CA3">
        <w:rPr>
          <w:rFonts w:ascii="Arial" w:hAnsi="Arial" w:cs="Arial"/>
          <w:sz w:val="18"/>
        </w:rPr>
        <w:t>Interino</w:t>
      </w:r>
      <w:r>
        <w:rPr>
          <w:rFonts w:ascii="Arial" w:hAnsi="Arial" w:cs="Arial"/>
          <w:sz w:val="18"/>
        </w:rPr>
        <w:t xml:space="preserve">”, “Padrão Regional </w:t>
      </w:r>
      <w:r w:rsidR="00CE6CA3">
        <w:rPr>
          <w:rFonts w:ascii="Arial" w:hAnsi="Arial" w:cs="Arial"/>
          <w:sz w:val="18"/>
        </w:rPr>
        <w:t>Interino</w:t>
      </w:r>
      <w:r>
        <w:rPr>
          <w:rFonts w:ascii="Arial" w:hAnsi="Arial" w:cs="Arial"/>
          <w:sz w:val="18"/>
        </w:rPr>
        <w:t>” e “Padrão Nacional de Manejo Florestal”.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7903168"/>
      <w:docPartObj>
        <w:docPartGallery w:val="Watermarks"/>
        <w:docPartUnique/>
      </w:docPartObj>
    </w:sdtPr>
    <w:sdtEndPr/>
    <w:sdtContent>
      <w:p w14:paraId="2AF482CC" w14:textId="776135A5" w:rsidR="005B50B0" w:rsidRDefault="000067D6">
        <w:pPr>
          <w:pStyle w:val="Cabealho"/>
        </w:pPr>
        <w:r>
          <w:pict w14:anchorId="41BD4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RASCUNHO"/>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88CF8" w14:textId="6742725E" w:rsidR="005B50B0" w:rsidRDefault="005B50B0">
    <w:pPr>
      <w:pStyle w:val="Cabealho"/>
    </w:pPr>
    <w:r>
      <w:rPr>
        <w:noProof/>
      </w:rPr>
      <w:drawing>
        <wp:anchor distT="0" distB="0" distL="114300" distR="114300" simplePos="0" relativeHeight="251657728" behindDoc="1" locked="0" layoutInCell="1" allowOverlap="1" wp14:anchorId="1990DC78" wp14:editId="410903E0">
          <wp:simplePos x="0" y="0"/>
          <wp:positionH relativeFrom="column">
            <wp:posOffset>-1143000</wp:posOffset>
          </wp:positionH>
          <wp:positionV relativeFrom="paragraph">
            <wp:posOffset>-441960</wp:posOffset>
          </wp:positionV>
          <wp:extent cx="7830820" cy="2021840"/>
          <wp:effectExtent l="0" t="0" r="0" b="10160"/>
          <wp:wrapSquare wrapText="bothSides"/>
          <wp:docPr id="68" name="Picture 77"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86411" w14:textId="0398C961" w:rsidR="005B50B0" w:rsidRDefault="005B50B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F40E2" w14:textId="019749B4" w:rsidR="005B50B0" w:rsidRDefault="005B50B0">
    <w:pPr>
      <w:pStyle w:val="Cabealho"/>
    </w:pPr>
    <w:r>
      <w:rPr>
        <w:noProof/>
      </w:rPr>
      <w:drawing>
        <wp:anchor distT="0" distB="0" distL="114300" distR="114300" simplePos="0" relativeHeight="251656704" behindDoc="0" locked="0" layoutInCell="1" allowOverlap="1" wp14:anchorId="0EF8E882" wp14:editId="7DFC84DC">
          <wp:simplePos x="0" y="0"/>
          <wp:positionH relativeFrom="column">
            <wp:posOffset>1998980</wp:posOffset>
          </wp:positionH>
          <wp:positionV relativeFrom="paragraph">
            <wp:posOffset>5080635</wp:posOffset>
          </wp:positionV>
          <wp:extent cx="1381760" cy="833120"/>
          <wp:effectExtent l="0" t="0" r="0" b="5080"/>
          <wp:wrapSquare wrapText="bothSides"/>
          <wp:docPr id="17" name="Picture 7" descr="/Users/m.simo/Documents/FSC Official/Corporate identity/Color update 2018 - Logos/Forests for all forever/forests for all forever gre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simo/Documents/FSC Official/Corporate identity/Color update 2018 - Logos/Forests for all forever/forests for all forever green-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76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3E8E434F" wp14:editId="72B90E47">
          <wp:simplePos x="0" y="0"/>
          <wp:positionH relativeFrom="column">
            <wp:posOffset>-1143000</wp:posOffset>
          </wp:positionH>
          <wp:positionV relativeFrom="paragraph">
            <wp:posOffset>-441960</wp:posOffset>
          </wp:positionV>
          <wp:extent cx="7830820" cy="2021840"/>
          <wp:effectExtent l="0" t="0" r="0" b="10160"/>
          <wp:wrapSquare wrapText="bothSides"/>
          <wp:docPr id="18" name="Picture 18"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8.25pt;height:43.2pt;visibility:visible;mso-wrap-style:square" o:bullet="t">
        <v:imagedata r:id="rId1" o:title=""/>
      </v:shape>
    </w:pict>
  </w:numPicBullet>
  <w:abstractNum w:abstractNumId="0" w15:restartNumberingAfterBreak="0">
    <w:nsid w:val="FFFFFF89"/>
    <w:multiLevelType w:val="singleLevel"/>
    <w:tmpl w:val="7EA0349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BC53A4"/>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15:restartNumberingAfterBreak="0">
    <w:nsid w:val="09083A6D"/>
    <w:multiLevelType w:val="hybridMultilevel"/>
    <w:tmpl w:val="F0DCD01C"/>
    <w:lvl w:ilvl="0" w:tplc="04090019">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20F90"/>
    <w:multiLevelType w:val="multilevel"/>
    <w:tmpl w:val="CFC8BE88"/>
    <w:lvl w:ilvl="0">
      <w:start w:val="1"/>
      <w:numFmt w:val="decimal"/>
      <w:lvlText w:val="%1."/>
      <w:lvlJc w:val="left"/>
      <w:pPr>
        <w:ind w:left="360" w:hanging="360"/>
      </w:pPr>
      <w:rPr>
        <w:rFonts w:ascii="Arial Black" w:hAnsi="Arial Black" w:hint="default"/>
        <w:b/>
      </w:rPr>
    </w:lvl>
    <w:lvl w:ilvl="1">
      <w:start w:val="1"/>
      <w:numFmt w:val="decimal"/>
      <w:pStyle w:val="Indicator"/>
      <w:lvlText w:val="%1.%2."/>
      <w:lvlJc w:val="left"/>
      <w:pPr>
        <w:ind w:left="716"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C73FA9"/>
    <w:multiLevelType w:val="hybridMultilevel"/>
    <w:tmpl w:val="E038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A49DA"/>
    <w:multiLevelType w:val="multilevel"/>
    <w:tmpl w:val="D6D427F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B34B9F"/>
    <w:multiLevelType w:val="multilevel"/>
    <w:tmpl w:val="D0B2DA3A"/>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287847"/>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044026"/>
    <w:multiLevelType w:val="multilevel"/>
    <w:tmpl w:val="2398F248"/>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211D06"/>
    <w:multiLevelType w:val="hybridMultilevel"/>
    <w:tmpl w:val="59487B14"/>
    <w:lvl w:ilvl="0" w:tplc="04090001">
      <w:start w:val="1"/>
      <w:numFmt w:val="bullet"/>
      <w:pStyle w:val="Ttulo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F0274"/>
    <w:multiLevelType w:val="hybridMultilevel"/>
    <w:tmpl w:val="B754C13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2AB05DBC"/>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2CFF77D5"/>
    <w:multiLevelType w:val="hybridMultilevel"/>
    <w:tmpl w:val="DF7ADB98"/>
    <w:lvl w:ilvl="0" w:tplc="676C091C">
      <w:start w:val="2"/>
      <w:numFmt w:val="lowerRoman"/>
      <w:lvlText w:val="%1."/>
      <w:lvlJc w:val="left"/>
      <w:pPr>
        <w:ind w:left="2520" w:hanging="720"/>
      </w:pPr>
      <w:rPr>
        <w:rFonts w:ascii="Arial" w:hAnsi="Arial" w:cs="Arial" w:hint="default"/>
        <w:sz w:val="22"/>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E443435"/>
    <w:multiLevelType w:val="multilevel"/>
    <w:tmpl w:val="675A5DD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CB4B9F"/>
    <w:multiLevelType w:val="hybridMultilevel"/>
    <w:tmpl w:val="C576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7784F"/>
    <w:multiLevelType w:val="hybridMultilevel"/>
    <w:tmpl w:val="3B0A761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15:restartNumberingAfterBreak="0">
    <w:nsid w:val="3096351E"/>
    <w:multiLevelType w:val="hybridMultilevel"/>
    <w:tmpl w:val="BAB8B452"/>
    <w:lvl w:ilvl="0" w:tplc="599AC01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70159B"/>
    <w:multiLevelType w:val="hybridMultilevel"/>
    <w:tmpl w:val="5B9E2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D2E58"/>
    <w:multiLevelType w:val="multilevel"/>
    <w:tmpl w:val="3B327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Arial" w:eastAsiaTheme="minorEastAsia" w:hAnsi="Arial" w:cs="Aria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B8E74DF"/>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4C2C0258"/>
    <w:multiLevelType w:val="hybridMultilevel"/>
    <w:tmpl w:val="A896ED98"/>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15:restartNumberingAfterBreak="0">
    <w:nsid w:val="536E6D06"/>
    <w:multiLevelType w:val="multilevel"/>
    <w:tmpl w:val="A52277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17DBA"/>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15:restartNumberingAfterBreak="0">
    <w:nsid w:val="59571E44"/>
    <w:multiLevelType w:val="hybridMultilevel"/>
    <w:tmpl w:val="49E6861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C25475B"/>
    <w:multiLevelType w:val="multilevel"/>
    <w:tmpl w:val="BAD6164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2"/>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7E14BF"/>
    <w:multiLevelType w:val="hybridMultilevel"/>
    <w:tmpl w:val="BFC811EC"/>
    <w:lvl w:ilvl="0" w:tplc="419EA80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6" w15:restartNumberingAfterBreak="0">
    <w:nsid w:val="637C592B"/>
    <w:multiLevelType w:val="hybridMultilevel"/>
    <w:tmpl w:val="0ACC93BE"/>
    <w:lvl w:ilvl="0" w:tplc="8C44A79C">
      <w:start w:val="1"/>
      <w:numFmt w:val="bullet"/>
      <w:lvlText w:val="•"/>
      <w:lvlJc w:val="left"/>
      <w:pPr>
        <w:tabs>
          <w:tab w:val="num" w:pos="720"/>
        </w:tabs>
        <w:ind w:left="720" w:hanging="360"/>
      </w:pPr>
      <w:rPr>
        <w:rFonts w:ascii="Arial" w:hAnsi="Arial" w:hint="default"/>
      </w:rPr>
    </w:lvl>
    <w:lvl w:ilvl="1" w:tplc="9F4835B2">
      <w:numFmt w:val="none"/>
      <w:lvlText w:val=""/>
      <w:lvlJc w:val="left"/>
      <w:pPr>
        <w:tabs>
          <w:tab w:val="num" w:pos="360"/>
        </w:tabs>
      </w:pPr>
    </w:lvl>
    <w:lvl w:ilvl="2" w:tplc="5B6CD2CC" w:tentative="1">
      <w:start w:val="1"/>
      <w:numFmt w:val="bullet"/>
      <w:lvlText w:val="•"/>
      <w:lvlJc w:val="left"/>
      <w:pPr>
        <w:tabs>
          <w:tab w:val="num" w:pos="2160"/>
        </w:tabs>
        <w:ind w:left="2160" w:hanging="360"/>
      </w:pPr>
      <w:rPr>
        <w:rFonts w:ascii="Arial" w:hAnsi="Arial" w:hint="default"/>
      </w:rPr>
    </w:lvl>
    <w:lvl w:ilvl="3" w:tplc="7B7A8C32" w:tentative="1">
      <w:start w:val="1"/>
      <w:numFmt w:val="bullet"/>
      <w:lvlText w:val="•"/>
      <w:lvlJc w:val="left"/>
      <w:pPr>
        <w:tabs>
          <w:tab w:val="num" w:pos="2880"/>
        </w:tabs>
        <w:ind w:left="2880" w:hanging="360"/>
      </w:pPr>
      <w:rPr>
        <w:rFonts w:ascii="Arial" w:hAnsi="Arial" w:hint="default"/>
      </w:rPr>
    </w:lvl>
    <w:lvl w:ilvl="4" w:tplc="E06C3936" w:tentative="1">
      <w:start w:val="1"/>
      <w:numFmt w:val="bullet"/>
      <w:lvlText w:val="•"/>
      <w:lvlJc w:val="left"/>
      <w:pPr>
        <w:tabs>
          <w:tab w:val="num" w:pos="3600"/>
        </w:tabs>
        <w:ind w:left="3600" w:hanging="360"/>
      </w:pPr>
      <w:rPr>
        <w:rFonts w:ascii="Arial" w:hAnsi="Arial" w:hint="default"/>
      </w:rPr>
    </w:lvl>
    <w:lvl w:ilvl="5" w:tplc="360E3994" w:tentative="1">
      <w:start w:val="1"/>
      <w:numFmt w:val="bullet"/>
      <w:lvlText w:val="•"/>
      <w:lvlJc w:val="left"/>
      <w:pPr>
        <w:tabs>
          <w:tab w:val="num" w:pos="4320"/>
        </w:tabs>
        <w:ind w:left="4320" w:hanging="360"/>
      </w:pPr>
      <w:rPr>
        <w:rFonts w:ascii="Arial" w:hAnsi="Arial" w:hint="default"/>
      </w:rPr>
    </w:lvl>
    <w:lvl w:ilvl="6" w:tplc="35F44536" w:tentative="1">
      <w:start w:val="1"/>
      <w:numFmt w:val="bullet"/>
      <w:lvlText w:val="•"/>
      <w:lvlJc w:val="left"/>
      <w:pPr>
        <w:tabs>
          <w:tab w:val="num" w:pos="5040"/>
        </w:tabs>
        <w:ind w:left="5040" w:hanging="360"/>
      </w:pPr>
      <w:rPr>
        <w:rFonts w:ascii="Arial" w:hAnsi="Arial" w:hint="default"/>
      </w:rPr>
    </w:lvl>
    <w:lvl w:ilvl="7" w:tplc="B310EC80" w:tentative="1">
      <w:start w:val="1"/>
      <w:numFmt w:val="bullet"/>
      <w:lvlText w:val="•"/>
      <w:lvlJc w:val="left"/>
      <w:pPr>
        <w:tabs>
          <w:tab w:val="num" w:pos="5760"/>
        </w:tabs>
        <w:ind w:left="5760" w:hanging="360"/>
      </w:pPr>
      <w:rPr>
        <w:rFonts w:ascii="Arial" w:hAnsi="Arial" w:hint="default"/>
      </w:rPr>
    </w:lvl>
    <w:lvl w:ilvl="8" w:tplc="9C4450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A62556"/>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6DA353BE"/>
    <w:multiLevelType w:val="hybridMultilevel"/>
    <w:tmpl w:val="B754C13C"/>
    <w:lvl w:ilvl="0" w:tplc="04090017">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6E35280F"/>
    <w:multiLevelType w:val="hybridMultilevel"/>
    <w:tmpl w:val="3B0A761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15:restartNumberingAfterBreak="0">
    <w:nsid w:val="74CC00C2"/>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15:restartNumberingAfterBreak="0">
    <w:nsid w:val="75284252"/>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C67373"/>
    <w:multiLevelType w:val="hybridMultilevel"/>
    <w:tmpl w:val="89D8A4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2165C4"/>
    <w:multiLevelType w:val="hybridMultilevel"/>
    <w:tmpl w:val="82AC81F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
  </w:num>
  <w:num w:numId="3">
    <w:abstractNumId w:val="28"/>
  </w:num>
  <w:num w:numId="4">
    <w:abstractNumId w:val="27"/>
  </w:num>
  <w:num w:numId="5">
    <w:abstractNumId w:val="29"/>
  </w:num>
  <w:num w:numId="6">
    <w:abstractNumId w:val="1"/>
  </w:num>
  <w:num w:numId="7">
    <w:abstractNumId w:val="20"/>
  </w:num>
  <w:num w:numId="8">
    <w:abstractNumId w:val="22"/>
  </w:num>
  <w:num w:numId="9">
    <w:abstractNumId w:val="15"/>
  </w:num>
  <w:num w:numId="10">
    <w:abstractNumId w:val="10"/>
  </w:num>
  <w:num w:numId="11">
    <w:abstractNumId w:val="6"/>
  </w:num>
  <w:num w:numId="12">
    <w:abstractNumId w:val="13"/>
  </w:num>
  <w:num w:numId="13">
    <w:abstractNumId w:val="30"/>
  </w:num>
  <w:num w:numId="14">
    <w:abstractNumId w:val="14"/>
  </w:num>
  <w:num w:numId="15">
    <w:abstractNumId w:val="17"/>
  </w:num>
  <w:num w:numId="16">
    <w:abstractNumId w:val="21"/>
    <w:lvlOverride w:ilvl="0"/>
    <w:lvlOverride w:ilvl="1">
      <w:startOverride w:val="1"/>
    </w:lvlOverride>
    <w:lvlOverride w:ilvl="2"/>
    <w:lvlOverride w:ilvl="3"/>
    <w:lvlOverride w:ilvl="4"/>
    <w:lvlOverride w:ilvl="5"/>
    <w:lvlOverride w:ilvl="6"/>
    <w:lvlOverride w:ilvl="7"/>
    <w:lvlOverride w:ilvl="8"/>
  </w:num>
  <w:num w:numId="17">
    <w:abstractNumId w:val="23"/>
  </w:num>
  <w:num w:numId="18">
    <w:abstractNumId w:val="31"/>
  </w:num>
  <w:num w:numId="19">
    <w:abstractNumId w:val="7"/>
  </w:num>
  <w:num w:numId="20">
    <w:abstractNumId w:val="18"/>
  </w:num>
  <w:num w:numId="21">
    <w:abstractNumId w:val="32"/>
  </w:num>
  <w:num w:numId="22">
    <w:abstractNumId w:val="11"/>
  </w:num>
  <w:num w:numId="23">
    <w:abstractNumId w:val="24"/>
  </w:num>
  <w:num w:numId="24">
    <w:abstractNumId w:val="33"/>
  </w:num>
  <w:num w:numId="25">
    <w:abstractNumId w:val="26"/>
  </w:num>
  <w:num w:numId="26">
    <w:abstractNumId w:val="9"/>
  </w:num>
  <w:num w:numId="27">
    <w:abstractNumId w:val="8"/>
  </w:num>
  <w:num w:numId="28">
    <w:abstractNumId w:val="5"/>
  </w:num>
  <w:num w:numId="29">
    <w:abstractNumId w:val="9"/>
  </w:num>
  <w:num w:numId="30">
    <w:abstractNumId w:val="9"/>
  </w:num>
  <w:num w:numId="31">
    <w:abstractNumId w:val="25"/>
  </w:num>
  <w:num w:numId="32">
    <w:abstractNumId w:val="9"/>
  </w:num>
  <w:num w:numId="33">
    <w:abstractNumId w:val="9"/>
  </w:num>
  <w:num w:numId="34">
    <w:abstractNumId w:val="9"/>
  </w:num>
  <w:num w:numId="35">
    <w:abstractNumId w:val="9"/>
  </w:num>
  <w:num w:numId="36">
    <w:abstractNumId w:val="0"/>
  </w:num>
  <w:num w:numId="37">
    <w:abstractNumId w:val="4"/>
  </w:num>
  <w:num w:numId="38">
    <w:abstractNumId w:val="16"/>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19"/>
  </w:num>
  <w:num w:numId="47">
    <w:abstractNumId w:val="2"/>
  </w:num>
  <w:num w:numId="48">
    <w:abstractNumId w:val="12"/>
  </w:num>
  <w:num w:numId="49">
    <w:abstractNumId w:val="9"/>
  </w:num>
  <w:num w:numId="5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B6"/>
    <w:rsid w:val="000006C4"/>
    <w:rsid w:val="00003701"/>
    <w:rsid w:val="00004248"/>
    <w:rsid w:val="000047C6"/>
    <w:rsid w:val="00004B41"/>
    <w:rsid w:val="00004B9C"/>
    <w:rsid w:val="0000608F"/>
    <w:rsid w:val="000067D6"/>
    <w:rsid w:val="000076D3"/>
    <w:rsid w:val="00010EAD"/>
    <w:rsid w:val="00013220"/>
    <w:rsid w:val="00015813"/>
    <w:rsid w:val="000165DD"/>
    <w:rsid w:val="00017429"/>
    <w:rsid w:val="00017524"/>
    <w:rsid w:val="000204D3"/>
    <w:rsid w:val="00021066"/>
    <w:rsid w:val="0002378E"/>
    <w:rsid w:val="000244C8"/>
    <w:rsid w:val="00025581"/>
    <w:rsid w:val="000264C8"/>
    <w:rsid w:val="000325A8"/>
    <w:rsid w:val="0003275D"/>
    <w:rsid w:val="000335E1"/>
    <w:rsid w:val="00037EA2"/>
    <w:rsid w:val="00040148"/>
    <w:rsid w:val="0004020A"/>
    <w:rsid w:val="0004230A"/>
    <w:rsid w:val="0004468D"/>
    <w:rsid w:val="000455BA"/>
    <w:rsid w:val="00045EE9"/>
    <w:rsid w:val="00047E1A"/>
    <w:rsid w:val="00050DB8"/>
    <w:rsid w:val="00052CE3"/>
    <w:rsid w:val="0005348D"/>
    <w:rsid w:val="00054023"/>
    <w:rsid w:val="00054C16"/>
    <w:rsid w:val="00055D3C"/>
    <w:rsid w:val="000563E9"/>
    <w:rsid w:val="00057F9D"/>
    <w:rsid w:val="000618E1"/>
    <w:rsid w:val="0006192C"/>
    <w:rsid w:val="00064C87"/>
    <w:rsid w:val="00065C07"/>
    <w:rsid w:val="00065ED3"/>
    <w:rsid w:val="000661F2"/>
    <w:rsid w:val="00066561"/>
    <w:rsid w:val="00066D81"/>
    <w:rsid w:val="00070E2B"/>
    <w:rsid w:val="000714DE"/>
    <w:rsid w:val="000745D8"/>
    <w:rsid w:val="0007539D"/>
    <w:rsid w:val="00076643"/>
    <w:rsid w:val="00080837"/>
    <w:rsid w:val="00081AEA"/>
    <w:rsid w:val="00082E97"/>
    <w:rsid w:val="000831B4"/>
    <w:rsid w:val="000839B6"/>
    <w:rsid w:val="000849F2"/>
    <w:rsid w:val="00085227"/>
    <w:rsid w:val="00085CFD"/>
    <w:rsid w:val="00086C47"/>
    <w:rsid w:val="0008767A"/>
    <w:rsid w:val="0009096D"/>
    <w:rsid w:val="00090AAD"/>
    <w:rsid w:val="00090AD3"/>
    <w:rsid w:val="00090DC4"/>
    <w:rsid w:val="0009106D"/>
    <w:rsid w:val="0009218E"/>
    <w:rsid w:val="000933E6"/>
    <w:rsid w:val="0009408E"/>
    <w:rsid w:val="0009422C"/>
    <w:rsid w:val="0009466F"/>
    <w:rsid w:val="0009470C"/>
    <w:rsid w:val="00096756"/>
    <w:rsid w:val="000A0C52"/>
    <w:rsid w:val="000A1CA9"/>
    <w:rsid w:val="000A2717"/>
    <w:rsid w:val="000A3663"/>
    <w:rsid w:val="000A59B6"/>
    <w:rsid w:val="000A75B6"/>
    <w:rsid w:val="000B3328"/>
    <w:rsid w:val="000B35EA"/>
    <w:rsid w:val="000B4A7A"/>
    <w:rsid w:val="000B56FB"/>
    <w:rsid w:val="000B6A50"/>
    <w:rsid w:val="000B6B00"/>
    <w:rsid w:val="000B7BED"/>
    <w:rsid w:val="000C1E2A"/>
    <w:rsid w:val="000C54D0"/>
    <w:rsid w:val="000C5652"/>
    <w:rsid w:val="000C58EF"/>
    <w:rsid w:val="000D2CEC"/>
    <w:rsid w:val="000D3556"/>
    <w:rsid w:val="000D4BBF"/>
    <w:rsid w:val="000D71B6"/>
    <w:rsid w:val="000E02E0"/>
    <w:rsid w:val="000E172E"/>
    <w:rsid w:val="000E1765"/>
    <w:rsid w:val="000E3E2E"/>
    <w:rsid w:val="000E42A5"/>
    <w:rsid w:val="000E5ED9"/>
    <w:rsid w:val="000E6373"/>
    <w:rsid w:val="000E7DBA"/>
    <w:rsid w:val="000F14F1"/>
    <w:rsid w:val="000F2A6B"/>
    <w:rsid w:val="000F37B4"/>
    <w:rsid w:val="000F5815"/>
    <w:rsid w:val="000F615C"/>
    <w:rsid w:val="000F63C5"/>
    <w:rsid w:val="00100143"/>
    <w:rsid w:val="001011E3"/>
    <w:rsid w:val="00103495"/>
    <w:rsid w:val="001038ED"/>
    <w:rsid w:val="00103AB8"/>
    <w:rsid w:val="00104028"/>
    <w:rsid w:val="001051A0"/>
    <w:rsid w:val="0010521A"/>
    <w:rsid w:val="0010561E"/>
    <w:rsid w:val="00105E59"/>
    <w:rsid w:val="00106AF0"/>
    <w:rsid w:val="00107827"/>
    <w:rsid w:val="001126D7"/>
    <w:rsid w:val="0011316A"/>
    <w:rsid w:val="0011355E"/>
    <w:rsid w:val="00113C1B"/>
    <w:rsid w:val="00114558"/>
    <w:rsid w:val="00114AD9"/>
    <w:rsid w:val="00115095"/>
    <w:rsid w:val="00115907"/>
    <w:rsid w:val="00115990"/>
    <w:rsid w:val="00115B7A"/>
    <w:rsid w:val="00116DD4"/>
    <w:rsid w:val="00117464"/>
    <w:rsid w:val="0012028C"/>
    <w:rsid w:val="001207C6"/>
    <w:rsid w:val="001215AB"/>
    <w:rsid w:val="00122557"/>
    <w:rsid w:val="00122920"/>
    <w:rsid w:val="00122A2E"/>
    <w:rsid w:val="00124907"/>
    <w:rsid w:val="00125E8C"/>
    <w:rsid w:val="00125F6A"/>
    <w:rsid w:val="00126127"/>
    <w:rsid w:val="001266E9"/>
    <w:rsid w:val="00126B24"/>
    <w:rsid w:val="00126EA7"/>
    <w:rsid w:val="00133C7A"/>
    <w:rsid w:val="00134FC4"/>
    <w:rsid w:val="001350BA"/>
    <w:rsid w:val="0013662E"/>
    <w:rsid w:val="001369D3"/>
    <w:rsid w:val="00136DF6"/>
    <w:rsid w:val="00137DCF"/>
    <w:rsid w:val="00140461"/>
    <w:rsid w:val="00142151"/>
    <w:rsid w:val="00142994"/>
    <w:rsid w:val="00143668"/>
    <w:rsid w:val="00143686"/>
    <w:rsid w:val="00143C5C"/>
    <w:rsid w:val="001448E2"/>
    <w:rsid w:val="00146DCD"/>
    <w:rsid w:val="0015024D"/>
    <w:rsid w:val="0015121F"/>
    <w:rsid w:val="00151D39"/>
    <w:rsid w:val="00153D56"/>
    <w:rsid w:val="0015655B"/>
    <w:rsid w:val="0015730D"/>
    <w:rsid w:val="0016173F"/>
    <w:rsid w:val="00161E34"/>
    <w:rsid w:val="001634C6"/>
    <w:rsid w:val="001635D3"/>
    <w:rsid w:val="00165082"/>
    <w:rsid w:val="001656D4"/>
    <w:rsid w:val="001666E3"/>
    <w:rsid w:val="001669C5"/>
    <w:rsid w:val="00166B47"/>
    <w:rsid w:val="00167A71"/>
    <w:rsid w:val="0017062C"/>
    <w:rsid w:val="001716D1"/>
    <w:rsid w:val="00172E66"/>
    <w:rsid w:val="0017334C"/>
    <w:rsid w:val="0017393B"/>
    <w:rsid w:val="001747D7"/>
    <w:rsid w:val="00174A36"/>
    <w:rsid w:val="001752FD"/>
    <w:rsid w:val="00176BAA"/>
    <w:rsid w:val="00182BC0"/>
    <w:rsid w:val="00182BC4"/>
    <w:rsid w:val="00182D20"/>
    <w:rsid w:val="00187513"/>
    <w:rsid w:val="001922C6"/>
    <w:rsid w:val="00192B9E"/>
    <w:rsid w:val="001941FF"/>
    <w:rsid w:val="0019600B"/>
    <w:rsid w:val="001A04A3"/>
    <w:rsid w:val="001A0E3E"/>
    <w:rsid w:val="001A11C7"/>
    <w:rsid w:val="001A234E"/>
    <w:rsid w:val="001A354C"/>
    <w:rsid w:val="001A4DAE"/>
    <w:rsid w:val="001A4DDD"/>
    <w:rsid w:val="001A5F20"/>
    <w:rsid w:val="001A61A0"/>
    <w:rsid w:val="001B0D41"/>
    <w:rsid w:val="001B19BD"/>
    <w:rsid w:val="001B21A9"/>
    <w:rsid w:val="001B3C17"/>
    <w:rsid w:val="001B4EE0"/>
    <w:rsid w:val="001B53B6"/>
    <w:rsid w:val="001B7AC5"/>
    <w:rsid w:val="001C04BA"/>
    <w:rsid w:val="001C28C3"/>
    <w:rsid w:val="001C34C0"/>
    <w:rsid w:val="001C4DD4"/>
    <w:rsid w:val="001C5775"/>
    <w:rsid w:val="001C6333"/>
    <w:rsid w:val="001C680D"/>
    <w:rsid w:val="001C6E7E"/>
    <w:rsid w:val="001C78AC"/>
    <w:rsid w:val="001D2CF7"/>
    <w:rsid w:val="001D2F88"/>
    <w:rsid w:val="001D4FF1"/>
    <w:rsid w:val="001E15F3"/>
    <w:rsid w:val="001E2045"/>
    <w:rsid w:val="001E2537"/>
    <w:rsid w:val="001E37E1"/>
    <w:rsid w:val="001E5689"/>
    <w:rsid w:val="001E5F39"/>
    <w:rsid w:val="001E6DE9"/>
    <w:rsid w:val="001F054A"/>
    <w:rsid w:val="001F1FF8"/>
    <w:rsid w:val="001F2413"/>
    <w:rsid w:val="001F2AD6"/>
    <w:rsid w:val="001F395B"/>
    <w:rsid w:val="001F4F53"/>
    <w:rsid w:val="001F6509"/>
    <w:rsid w:val="002003B1"/>
    <w:rsid w:val="0020072D"/>
    <w:rsid w:val="002009B3"/>
    <w:rsid w:val="00200FA4"/>
    <w:rsid w:val="0020436D"/>
    <w:rsid w:val="0020550A"/>
    <w:rsid w:val="0020571A"/>
    <w:rsid w:val="002059EC"/>
    <w:rsid w:val="002069D6"/>
    <w:rsid w:val="00207688"/>
    <w:rsid w:val="00207A2B"/>
    <w:rsid w:val="00207AEA"/>
    <w:rsid w:val="0021195F"/>
    <w:rsid w:val="00211A69"/>
    <w:rsid w:val="00212640"/>
    <w:rsid w:val="00212A10"/>
    <w:rsid w:val="00213505"/>
    <w:rsid w:val="002137AA"/>
    <w:rsid w:val="00213FDF"/>
    <w:rsid w:val="002141B9"/>
    <w:rsid w:val="00217512"/>
    <w:rsid w:val="00220A27"/>
    <w:rsid w:val="0022286F"/>
    <w:rsid w:val="00224C32"/>
    <w:rsid w:val="00227744"/>
    <w:rsid w:val="00227D8E"/>
    <w:rsid w:val="002305F9"/>
    <w:rsid w:val="00232DCF"/>
    <w:rsid w:val="002344BA"/>
    <w:rsid w:val="00234BA0"/>
    <w:rsid w:val="00236C46"/>
    <w:rsid w:val="00236F3A"/>
    <w:rsid w:val="0024320C"/>
    <w:rsid w:val="00243B87"/>
    <w:rsid w:val="00244914"/>
    <w:rsid w:val="00246307"/>
    <w:rsid w:val="002474BA"/>
    <w:rsid w:val="00251850"/>
    <w:rsid w:val="00252C3B"/>
    <w:rsid w:val="00252CE0"/>
    <w:rsid w:val="002533B6"/>
    <w:rsid w:val="002536B9"/>
    <w:rsid w:val="00253D20"/>
    <w:rsid w:val="00254A8E"/>
    <w:rsid w:val="00257604"/>
    <w:rsid w:val="00257D8C"/>
    <w:rsid w:val="0026106C"/>
    <w:rsid w:val="00261DE3"/>
    <w:rsid w:val="00262153"/>
    <w:rsid w:val="00263C13"/>
    <w:rsid w:val="002656F3"/>
    <w:rsid w:val="00272947"/>
    <w:rsid w:val="002737E9"/>
    <w:rsid w:val="00273DA7"/>
    <w:rsid w:val="002768AE"/>
    <w:rsid w:val="002821B6"/>
    <w:rsid w:val="00282DF1"/>
    <w:rsid w:val="00283520"/>
    <w:rsid w:val="002835C0"/>
    <w:rsid w:val="00283864"/>
    <w:rsid w:val="00284161"/>
    <w:rsid w:val="00284318"/>
    <w:rsid w:val="00284647"/>
    <w:rsid w:val="002868EF"/>
    <w:rsid w:val="00286E1C"/>
    <w:rsid w:val="002904D8"/>
    <w:rsid w:val="00290B09"/>
    <w:rsid w:val="00290B0A"/>
    <w:rsid w:val="002912E1"/>
    <w:rsid w:val="00292BA6"/>
    <w:rsid w:val="002959D9"/>
    <w:rsid w:val="0029734A"/>
    <w:rsid w:val="002974C8"/>
    <w:rsid w:val="002A2D6A"/>
    <w:rsid w:val="002A33EE"/>
    <w:rsid w:val="002A3447"/>
    <w:rsid w:val="002A602E"/>
    <w:rsid w:val="002A606A"/>
    <w:rsid w:val="002A6912"/>
    <w:rsid w:val="002B0A77"/>
    <w:rsid w:val="002B1CC2"/>
    <w:rsid w:val="002B1D54"/>
    <w:rsid w:val="002B28C3"/>
    <w:rsid w:val="002B4AF9"/>
    <w:rsid w:val="002B56FF"/>
    <w:rsid w:val="002B636E"/>
    <w:rsid w:val="002C02C9"/>
    <w:rsid w:val="002C15D7"/>
    <w:rsid w:val="002C288B"/>
    <w:rsid w:val="002C2A2B"/>
    <w:rsid w:val="002C31DF"/>
    <w:rsid w:val="002C435A"/>
    <w:rsid w:val="002C4E4C"/>
    <w:rsid w:val="002C7010"/>
    <w:rsid w:val="002D19F6"/>
    <w:rsid w:val="002D21A0"/>
    <w:rsid w:val="002D27D1"/>
    <w:rsid w:val="002D2DDA"/>
    <w:rsid w:val="002D371C"/>
    <w:rsid w:val="002D4B38"/>
    <w:rsid w:val="002D6031"/>
    <w:rsid w:val="002D6DA0"/>
    <w:rsid w:val="002D6E61"/>
    <w:rsid w:val="002D7213"/>
    <w:rsid w:val="002D77DA"/>
    <w:rsid w:val="002D77F1"/>
    <w:rsid w:val="002E0853"/>
    <w:rsid w:val="002E0A5E"/>
    <w:rsid w:val="002E5D9F"/>
    <w:rsid w:val="002E62EA"/>
    <w:rsid w:val="002E6837"/>
    <w:rsid w:val="002E6EB8"/>
    <w:rsid w:val="002E6FC1"/>
    <w:rsid w:val="002E7864"/>
    <w:rsid w:val="002F2608"/>
    <w:rsid w:val="002F292F"/>
    <w:rsid w:val="002F4BEA"/>
    <w:rsid w:val="002F603D"/>
    <w:rsid w:val="002F62B6"/>
    <w:rsid w:val="002F76D1"/>
    <w:rsid w:val="003006EB"/>
    <w:rsid w:val="003023E7"/>
    <w:rsid w:val="0030390C"/>
    <w:rsid w:val="00303C73"/>
    <w:rsid w:val="0030477E"/>
    <w:rsid w:val="003050CD"/>
    <w:rsid w:val="003062BF"/>
    <w:rsid w:val="0030714A"/>
    <w:rsid w:val="00307836"/>
    <w:rsid w:val="0031001E"/>
    <w:rsid w:val="00310105"/>
    <w:rsid w:val="003101CC"/>
    <w:rsid w:val="003104F7"/>
    <w:rsid w:val="00310D26"/>
    <w:rsid w:val="00310FF0"/>
    <w:rsid w:val="00315FEE"/>
    <w:rsid w:val="003179DE"/>
    <w:rsid w:val="00322712"/>
    <w:rsid w:val="0032271F"/>
    <w:rsid w:val="00322C8B"/>
    <w:rsid w:val="00323353"/>
    <w:rsid w:val="00324C19"/>
    <w:rsid w:val="00325F2E"/>
    <w:rsid w:val="003303C6"/>
    <w:rsid w:val="00331033"/>
    <w:rsid w:val="00332680"/>
    <w:rsid w:val="003334DB"/>
    <w:rsid w:val="00333849"/>
    <w:rsid w:val="00334033"/>
    <w:rsid w:val="00334908"/>
    <w:rsid w:val="00334F8F"/>
    <w:rsid w:val="0034099F"/>
    <w:rsid w:val="00342E2C"/>
    <w:rsid w:val="00342E75"/>
    <w:rsid w:val="0034314B"/>
    <w:rsid w:val="00343798"/>
    <w:rsid w:val="003460A1"/>
    <w:rsid w:val="00346CBE"/>
    <w:rsid w:val="00347C0C"/>
    <w:rsid w:val="00350936"/>
    <w:rsid w:val="003509EB"/>
    <w:rsid w:val="00350C57"/>
    <w:rsid w:val="00351E36"/>
    <w:rsid w:val="00352E7F"/>
    <w:rsid w:val="0035561A"/>
    <w:rsid w:val="00355E5A"/>
    <w:rsid w:val="00355F33"/>
    <w:rsid w:val="0035745F"/>
    <w:rsid w:val="00359B85"/>
    <w:rsid w:val="00360784"/>
    <w:rsid w:val="00360D76"/>
    <w:rsid w:val="00363865"/>
    <w:rsid w:val="00365D2C"/>
    <w:rsid w:val="00366F2D"/>
    <w:rsid w:val="00371900"/>
    <w:rsid w:val="00371EB4"/>
    <w:rsid w:val="00372D33"/>
    <w:rsid w:val="00374462"/>
    <w:rsid w:val="00374E3B"/>
    <w:rsid w:val="00376086"/>
    <w:rsid w:val="0037645A"/>
    <w:rsid w:val="003778E7"/>
    <w:rsid w:val="00380B2D"/>
    <w:rsid w:val="00381256"/>
    <w:rsid w:val="003818FF"/>
    <w:rsid w:val="00381DA2"/>
    <w:rsid w:val="00382507"/>
    <w:rsid w:val="003826B3"/>
    <w:rsid w:val="00384DD6"/>
    <w:rsid w:val="00384E4E"/>
    <w:rsid w:val="00385264"/>
    <w:rsid w:val="00385924"/>
    <w:rsid w:val="00385CD7"/>
    <w:rsid w:val="00390C58"/>
    <w:rsid w:val="0039182C"/>
    <w:rsid w:val="00392188"/>
    <w:rsid w:val="00393AFD"/>
    <w:rsid w:val="00395AAA"/>
    <w:rsid w:val="003A0446"/>
    <w:rsid w:val="003A24B1"/>
    <w:rsid w:val="003A31BC"/>
    <w:rsid w:val="003A65EE"/>
    <w:rsid w:val="003A69AC"/>
    <w:rsid w:val="003B30E3"/>
    <w:rsid w:val="003B4CC1"/>
    <w:rsid w:val="003B4D0C"/>
    <w:rsid w:val="003B5AA0"/>
    <w:rsid w:val="003B5D75"/>
    <w:rsid w:val="003B6113"/>
    <w:rsid w:val="003B7747"/>
    <w:rsid w:val="003C019C"/>
    <w:rsid w:val="003C0B20"/>
    <w:rsid w:val="003C0D1B"/>
    <w:rsid w:val="003C19E4"/>
    <w:rsid w:val="003C1D25"/>
    <w:rsid w:val="003C4EAF"/>
    <w:rsid w:val="003C5204"/>
    <w:rsid w:val="003C7A7A"/>
    <w:rsid w:val="003C7C79"/>
    <w:rsid w:val="003D58ED"/>
    <w:rsid w:val="003D5C8C"/>
    <w:rsid w:val="003D755C"/>
    <w:rsid w:val="003E33BC"/>
    <w:rsid w:val="003E34CF"/>
    <w:rsid w:val="003F254B"/>
    <w:rsid w:val="003F3BF4"/>
    <w:rsid w:val="003F6628"/>
    <w:rsid w:val="003F699B"/>
    <w:rsid w:val="003F6BF1"/>
    <w:rsid w:val="003F7DE2"/>
    <w:rsid w:val="00400595"/>
    <w:rsid w:val="0040073A"/>
    <w:rsid w:val="00400B6E"/>
    <w:rsid w:val="00401090"/>
    <w:rsid w:val="00402940"/>
    <w:rsid w:val="00404A64"/>
    <w:rsid w:val="0040507B"/>
    <w:rsid w:val="004077D0"/>
    <w:rsid w:val="0041027E"/>
    <w:rsid w:val="004118AF"/>
    <w:rsid w:val="00413B1F"/>
    <w:rsid w:val="00413B2C"/>
    <w:rsid w:val="00420668"/>
    <w:rsid w:val="0042091E"/>
    <w:rsid w:val="004255BA"/>
    <w:rsid w:val="00425C87"/>
    <w:rsid w:val="0042774D"/>
    <w:rsid w:val="00430C16"/>
    <w:rsid w:val="00431017"/>
    <w:rsid w:val="00431659"/>
    <w:rsid w:val="00431E63"/>
    <w:rsid w:val="00432853"/>
    <w:rsid w:val="00433784"/>
    <w:rsid w:val="00434307"/>
    <w:rsid w:val="00434491"/>
    <w:rsid w:val="00434EF1"/>
    <w:rsid w:val="00435F2B"/>
    <w:rsid w:val="004361A1"/>
    <w:rsid w:val="00440D8A"/>
    <w:rsid w:val="00441262"/>
    <w:rsid w:val="00441611"/>
    <w:rsid w:val="00441690"/>
    <w:rsid w:val="00441BEE"/>
    <w:rsid w:val="0044441E"/>
    <w:rsid w:val="00444AE6"/>
    <w:rsid w:val="0044506B"/>
    <w:rsid w:val="0044668E"/>
    <w:rsid w:val="0044688F"/>
    <w:rsid w:val="0045003D"/>
    <w:rsid w:val="0045052D"/>
    <w:rsid w:val="004506E0"/>
    <w:rsid w:val="00450BA5"/>
    <w:rsid w:val="00450F78"/>
    <w:rsid w:val="00452666"/>
    <w:rsid w:val="00452B14"/>
    <w:rsid w:val="00452B71"/>
    <w:rsid w:val="00452F2A"/>
    <w:rsid w:val="004536A3"/>
    <w:rsid w:val="004536BB"/>
    <w:rsid w:val="004556FB"/>
    <w:rsid w:val="00455802"/>
    <w:rsid w:val="00455E04"/>
    <w:rsid w:val="00457109"/>
    <w:rsid w:val="00457578"/>
    <w:rsid w:val="00460713"/>
    <w:rsid w:val="00461DF5"/>
    <w:rsid w:val="00462187"/>
    <w:rsid w:val="00462AD6"/>
    <w:rsid w:val="00462BDA"/>
    <w:rsid w:val="00463403"/>
    <w:rsid w:val="00463918"/>
    <w:rsid w:val="0046604B"/>
    <w:rsid w:val="004662C9"/>
    <w:rsid w:val="00467AD2"/>
    <w:rsid w:val="0047241C"/>
    <w:rsid w:val="00472615"/>
    <w:rsid w:val="004727FB"/>
    <w:rsid w:val="00472EF7"/>
    <w:rsid w:val="00473620"/>
    <w:rsid w:val="00473783"/>
    <w:rsid w:val="004737B9"/>
    <w:rsid w:val="0047465F"/>
    <w:rsid w:val="00474B4F"/>
    <w:rsid w:val="0047506E"/>
    <w:rsid w:val="0047570E"/>
    <w:rsid w:val="0047640E"/>
    <w:rsid w:val="0048134F"/>
    <w:rsid w:val="0048153E"/>
    <w:rsid w:val="00481C9B"/>
    <w:rsid w:val="004837B6"/>
    <w:rsid w:val="00484C5D"/>
    <w:rsid w:val="00485574"/>
    <w:rsid w:val="004855E3"/>
    <w:rsid w:val="004864EC"/>
    <w:rsid w:val="004878B1"/>
    <w:rsid w:val="00487A38"/>
    <w:rsid w:val="00490003"/>
    <w:rsid w:val="0049295F"/>
    <w:rsid w:val="00493699"/>
    <w:rsid w:val="004961DC"/>
    <w:rsid w:val="00496682"/>
    <w:rsid w:val="004A0B68"/>
    <w:rsid w:val="004A0DA6"/>
    <w:rsid w:val="004A0E1E"/>
    <w:rsid w:val="004A2520"/>
    <w:rsid w:val="004A2A75"/>
    <w:rsid w:val="004A3393"/>
    <w:rsid w:val="004A3AEC"/>
    <w:rsid w:val="004A4E00"/>
    <w:rsid w:val="004A55FF"/>
    <w:rsid w:val="004A6751"/>
    <w:rsid w:val="004B016C"/>
    <w:rsid w:val="004B3F1C"/>
    <w:rsid w:val="004B6319"/>
    <w:rsid w:val="004B6E13"/>
    <w:rsid w:val="004B773E"/>
    <w:rsid w:val="004C0E72"/>
    <w:rsid w:val="004C19BE"/>
    <w:rsid w:val="004C3D3D"/>
    <w:rsid w:val="004C4A0B"/>
    <w:rsid w:val="004C587A"/>
    <w:rsid w:val="004C5B99"/>
    <w:rsid w:val="004C5F87"/>
    <w:rsid w:val="004C6916"/>
    <w:rsid w:val="004C73FD"/>
    <w:rsid w:val="004D13FE"/>
    <w:rsid w:val="004D25FD"/>
    <w:rsid w:val="004D3A5F"/>
    <w:rsid w:val="004D4CB5"/>
    <w:rsid w:val="004D6574"/>
    <w:rsid w:val="004E0045"/>
    <w:rsid w:val="004E07A0"/>
    <w:rsid w:val="004E12E8"/>
    <w:rsid w:val="004E1681"/>
    <w:rsid w:val="004E3DBC"/>
    <w:rsid w:val="004E4010"/>
    <w:rsid w:val="004E593A"/>
    <w:rsid w:val="004E6242"/>
    <w:rsid w:val="004E7609"/>
    <w:rsid w:val="004F07B5"/>
    <w:rsid w:val="004F333B"/>
    <w:rsid w:val="004F338A"/>
    <w:rsid w:val="004F4450"/>
    <w:rsid w:val="004F459E"/>
    <w:rsid w:val="004F46CA"/>
    <w:rsid w:val="004F49C0"/>
    <w:rsid w:val="004F52D5"/>
    <w:rsid w:val="004F540E"/>
    <w:rsid w:val="004F5F56"/>
    <w:rsid w:val="004F67F3"/>
    <w:rsid w:val="004F7395"/>
    <w:rsid w:val="005004C1"/>
    <w:rsid w:val="00500C0F"/>
    <w:rsid w:val="00500CAC"/>
    <w:rsid w:val="00501619"/>
    <w:rsid w:val="00501BFB"/>
    <w:rsid w:val="005020AB"/>
    <w:rsid w:val="00502E2C"/>
    <w:rsid w:val="00504524"/>
    <w:rsid w:val="00505FED"/>
    <w:rsid w:val="005060B2"/>
    <w:rsid w:val="0050678D"/>
    <w:rsid w:val="00506D8B"/>
    <w:rsid w:val="00510A4C"/>
    <w:rsid w:val="00511EB5"/>
    <w:rsid w:val="00512F20"/>
    <w:rsid w:val="0051324E"/>
    <w:rsid w:val="00513351"/>
    <w:rsid w:val="0051366E"/>
    <w:rsid w:val="00514B53"/>
    <w:rsid w:val="00515674"/>
    <w:rsid w:val="00515945"/>
    <w:rsid w:val="005200C3"/>
    <w:rsid w:val="00520B87"/>
    <w:rsid w:val="00520F4A"/>
    <w:rsid w:val="00521619"/>
    <w:rsid w:val="005236D8"/>
    <w:rsid w:val="00525E8D"/>
    <w:rsid w:val="00526309"/>
    <w:rsid w:val="00527833"/>
    <w:rsid w:val="00527962"/>
    <w:rsid w:val="00527DA3"/>
    <w:rsid w:val="0053123E"/>
    <w:rsid w:val="00533492"/>
    <w:rsid w:val="00534297"/>
    <w:rsid w:val="00534452"/>
    <w:rsid w:val="005363A3"/>
    <w:rsid w:val="00537834"/>
    <w:rsid w:val="005404AF"/>
    <w:rsid w:val="00540BE8"/>
    <w:rsid w:val="00540E1E"/>
    <w:rsid w:val="00541E24"/>
    <w:rsid w:val="00542015"/>
    <w:rsid w:val="00542CEF"/>
    <w:rsid w:val="00544515"/>
    <w:rsid w:val="0054500F"/>
    <w:rsid w:val="00546C8F"/>
    <w:rsid w:val="00550ACE"/>
    <w:rsid w:val="00550CB1"/>
    <w:rsid w:val="00550F80"/>
    <w:rsid w:val="00554268"/>
    <w:rsid w:val="00554679"/>
    <w:rsid w:val="00556EEA"/>
    <w:rsid w:val="0055702E"/>
    <w:rsid w:val="00560490"/>
    <w:rsid w:val="005621AA"/>
    <w:rsid w:val="0056223E"/>
    <w:rsid w:val="00562D7E"/>
    <w:rsid w:val="00563D58"/>
    <w:rsid w:val="00565536"/>
    <w:rsid w:val="00571BD7"/>
    <w:rsid w:val="00572553"/>
    <w:rsid w:val="005734CD"/>
    <w:rsid w:val="005747F4"/>
    <w:rsid w:val="0057509C"/>
    <w:rsid w:val="0057518C"/>
    <w:rsid w:val="005760BB"/>
    <w:rsid w:val="005763F3"/>
    <w:rsid w:val="00576D7F"/>
    <w:rsid w:val="00577B9C"/>
    <w:rsid w:val="00577EBC"/>
    <w:rsid w:val="005815A4"/>
    <w:rsid w:val="00583415"/>
    <w:rsid w:val="00583665"/>
    <w:rsid w:val="00583E62"/>
    <w:rsid w:val="005840E4"/>
    <w:rsid w:val="0058415B"/>
    <w:rsid w:val="0058422C"/>
    <w:rsid w:val="00585DAB"/>
    <w:rsid w:val="00586909"/>
    <w:rsid w:val="00586A10"/>
    <w:rsid w:val="00586C28"/>
    <w:rsid w:val="00587151"/>
    <w:rsid w:val="005906C6"/>
    <w:rsid w:val="00590F28"/>
    <w:rsid w:val="00594C75"/>
    <w:rsid w:val="00594C97"/>
    <w:rsid w:val="00597DE3"/>
    <w:rsid w:val="005A20AF"/>
    <w:rsid w:val="005A3522"/>
    <w:rsid w:val="005A490C"/>
    <w:rsid w:val="005A4DF0"/>
    <w:rsid w:val="005A5DF7"/>
    <w:rsid w:val="005A632D"/>
    <w:rsid w:val="005A675C"/>
    <w:rsid w:val="005A6A67"/>
    <w:rsid w:val="005A6B2A"/>
    <w:rsid w:val="005A6C66"/>
    <w:rsid w:val="005A6D80"/>
    <w:rsid w:val="005A6DC9"/>
    <w:rsid w:val="005A7B76"/>
    <w:rsid w:val="005B0275"/>
    <w:rsid w:val="005B17DA"/>
    <w:rsid w:val="005B191C"/>
    <w:rsid w:val="005B2840"/>
    <w:rsid w:val="005B2ED2"/>
    <w:rsid w:val="005B3861"/>
    <w:rsid w:val="005B3DFE"/>
    <w:rsid w:val="005B4A8C"/>
    <w:rsid w:val="005B50B0"/>
    <w:rsid w:val="005B699B"/>
    <w:rsid w:val="005C0376"/>
    <w:rsid w:val="005C2528"/>
    <w:rsid w:val="005C3548"/>
    <w:rsid w:val="005C3E56"/>
    <w:rsid w:val="005C67CB"/>
    <w:rsid w:val="005C67EF"/>
    <w:rsid w:val="005D1410"/>
    <w:rsid w:val="005D29D9"/>
    <w:rsid w:val="005D35F7"/>
    <w:rsid w:val="005D3667"/>
    <w:rsid w:val="005D4BE5"/>
    <w:rsid w:val="005D59BA"/>
    <w:rsid w:val="005E167A"/>
    <w:rsid w:val="005E2577"/>
    <w:rsid w:val="005E2965"/>
    <w:rsid w:val="005E4BA2"/>
    <w:rsid w:val="005E4BBD"/>
    <w:rsid w:val="005F134F"/>
    <w:rsid w:val="005F1ABF"/>
    <w:rsid w:val="005F1DFF"/>
    <w:rsid w:val="005F1FF7"/>
    <w:rsid w:val="005F3139"/>
    <w:rsid w:val="005F37D9"/>
    <w:rsid w:val="005F3998"/>
    <w:rsid w:val="005F3D17"/>
    <w:rsid w:val="005F40E1"/>
    <w:rsid w:val="005F5167"/>
    <w:rsid w:val="005F53BA"/>
    <w:rsid w:val="005F5D28"/>
    <w:rsid w:val="005F6333"/>
    <w:rsid w:val="005F6F57"/>
    <w:rsid w:val="0060087B"/>
    <w:rsid w:val="006013FF"/>
    <w:rsid w:val="00601A60"/>
    <w:rsid w:val="00601F32"/>
    <w:rsid w:val="00602115"/>
    <w:rsid w:val="00604BCA"/>
    <w:rsid w:val="00604C39"/>
    <w:rsid w:val="006061F3"/>
    <w:rsid w:val="00607400"/>
    <w:rsid w:val="00607DEE"/>
    <w:rsid w:val="006103C1"/>
    <w:rsid w:val="006105C4"/>
    <w:rsid w:val="00610CE7"/>
    <w:rsid w:val="006113C9"/>
    <w:rsid w:val="006124C0"/>
    <w:rsid w:val="00613393"/>
    <w:rsid w:val="0061341B"/>
    <w:rsid w:val="00615080"/>
    <w:rsid w:val="00615837"/>
    <w:rsid w:val="00616C53"/>
    <w:rsid w:val="00616C90"/>
    <w:rsid w:val="00616FA9"/>
    <w:rsid w:val="00617099"/>
    <w:rsid w:val="0062009B"/>
    <w:rsid w:val="00620C3C"/>
    <w:rsid w:val="006233ED"/>
    <w:rsid w:val="0062466C"/>
    <w:rsid w:val="00625716"/>
    <w:rsid w:val="00625A92"/>
    <w:rsid w:val="00627DBA"/>
    <w:rsid w:val="00630480"/>
    <w:rsid w:val="00630C41"/>
    <w:rsid w:val="00631AB7"/>
    <w:rsid w:val="00631F2C"/>
    <w:rsid w:val="0063304C"/>
    <w:rsid w:val="006369EC"/>
    <w:rsid w:val="00636F9F"/>
    <w:rsid w:val="0063732A"/>
    <w:rsid w:val="0064092A"/>
    <w:rsid w:val="006411F3"/>
    <w:rsid w:val="006415CB"/>
    <w:rsid w:val="00642CFA"/>
    <w:rsid w:val="00642DC7"/>
    <w:rsid w:val="00644392"/>
    <w:rsid w:val="00644471"/>
    <w:rsid w:val="0064457D"/>
    <w:rsid w:val="00644987"/>
    <w:rsid w:val="00645913"/>
    <w:rsid w:val="00645FFF"/>
    <w:rsid w:val="006462D6"/>
    <w:rsid w:val="0064651B"/>
    <w:rsid w:val="00646E37"/>
    <w:rsid w:val="006511D9"/>
    <w:rsid w:val="00651D6E"/>
    <w:rsid w:val="00652C08"/>
    <w:rsid w:val="00654201"/>
    <w:rsid w:val="00654B89"/>
    <w:rsid w:val="00656BC3"/>
    <w:rsid w:val="00657273"/>
    <w:rsid w:val="00657430"/>
    <w:rsid w:val="00657796"/>
    <w:rsid w:val="00657932"/>
    <w:rsid w:val="006603BA"/>
    <w:rsid w:val="00660A2A"/>
    <w:rsid w:val="006636DE"/>
    <w:rsid w:val="006639D8"/>
    <w:rsid w:val="00665416"/>
    <w:rsid w:val="0066622A"/>
    <w:rsid w:val="00666A33"/>
    <w:rsid w:val="006671B2"/>
    <w:rsid w:val="00670CE7"/>
    <w:rsid w:val="00672227"/>
    <w:rsid w:val="00676040"/>
    <w:rsid w:val="00676C60"/>
    <w:rsid w:val="00680F12"/>
    <w:rsid w:val="006837ED"/>
    <w:rsid w:val="00687165"/>
    <w:rsid w:val="00691819"/>
    <w:rsid w:val="00691B10"/>
    <w:rsid w:val="00691D4C"/>
    <w:rsid w:val="006929A5"/>
    <w:rsid w:val="00693EC1"/>
    <w:rsid w:val="00694133"/>
    <w:rsid w:val="0069617F"/>
    <w:rsid w:val="00696CCF"/>
    <w:rsid w:val="006A2E6D"/>
    <w:rsid w:val="006A2EB1"/>
    <w:rsid w:val="006A399E"/>
    <w:rsid w:val="006A498A"/>
    <w:rsid w:val="006A565B"/>
    <w:rsid w:val="006A5ECA"/>
    <w:rsid w:val="006A7160"/>
    <w:rsid w:val="006B1840"/>
    <w:rsid w:val="006B41FF"/>
    <w:rsid w:val="006B568C"/>
    <w:rsid w:val="006B611B"/>
    <w:rsid w:val="006B6162"/>
    <w:rsid w:val="006B62DC"/>
    <w:rsid w:val="006B640B"/>
    <w:rsid w:val="006B6AFB"/>
    <w:rsid w:val="006C6560"/>
    <w:rsid w:val="006C66FD"/>
    <w:rsid w:val="006C688F"/>
    <w:rsid w:val="006C6D00"/>
    <w:rsid w:val="006D107B"/>
    <w:rsid w:val="006D1C65"/>
    <w:rsid w:val="006D2326"/>
    <w:rsid w:val="006D2C5F"/>
    <w:rsid w:val="006D49AE"/>
    <w:rsid w:val="006D4E9A"/>
    <w:rsid w:val="006D6843"/>
    <w:rsid w:val="006E0911"/>
    <w:rsid w:val="006E0FB6"/>
    <w:rsid w:val="006E2464"/>
    <w:rsid w:val="006E552B"/>
    <w:rsid w:val="006E795C"/>
    <w:rsid w:val="006E7CE8"/>
    <w:rsid w:val="006F0740"/>
    <w:rsid w:val="006F13AC"/>
    <w:rsid w:val="006F15F2"/>
    <w:rsid w:val="006F3523"/>
    <w:rsid w:val="006F6B40"/>
    <w:rsid w:val="006F6D53"/>
    <w:rsid w:val="0070058E"/>
    <w:rsid w:val="00701210"/>
    <w:rsid w:val="0070154E"/>
    <w:rsid w:val="007022A8"/>
    <w:rsid w:val="00704786"/>
    <w:rsid w:val="00706BF5"/>
    <w:rsid w:val="007104F1"/>
    <w:rsid w:val="007107AA"/>
    <w:rsid w:val="00710842"/>
    <w:rsid w:val="00711770"/>
    <w:rsid w:val="00712634"/>
    <w:rsid w:val="00713AC5"/>
    <w:rsid w:val="00715DE3"/>
    <w:rsid w:val="00716216"/>
    <w:rsid w:val="007166A0"/>
    <w:rsid w:val="00721F6F"/>
    <w:rsid w:val="00721FF0"/>
    <w:rsid w:val="00722C24"/>
    <w:rsid w:val="00722D31"/>
    <w:rsid w:val="00726193"/>
    <w:rsid w:val="00726F3D"/>
    <w:rsid w:val="00730AEA"/>
    <w:rsid w:val="0073119B"/>
    <w:rsid w:val="007316CF"/>
    <w:rsid w:val="0073183A"/>
    <w:rsid w:val="0073536E"/>
    <w:rsid w:val="007401BD"/>
    <w:rsid w:val="00741153"/>
    <w:rsid w:val="00741379"/>
    <w:rsid w:val="0074138C"/>
    <w:rsid w:val="007416D0"/>
    <w:rsid w:val="0074187F"/>
    <w:rsid w:val="00741C1F"/>
    <w:rsid w:val="00742151"/>
    <w:rsid w:val="007436FC"/>
    <w:rsid w:val="0074675B"/>
    <w:rsid w:val="00746A66"/>
    <w:rsid w:val="00747707"/>
    <w:rsid w:val="00747F6D"/>
    <w:rsid w:val="00753387"/>
    <w:rsid w:val="007535F0"/>
    <w:rsid w:val="007536E0"/>
    <w:rsid w:val="00753C91"/>
    <w:rsid w:val="00753E3E"/>
    <w:rsid w:val="0075606E"/>
    <w:rsid w:val="0075677D"/>
    <w:rsid w:val="00756B6A"/>
    <w:rsid w:val="00757EC6"/>
    <w:rsid w:val="00760ADD"/>
    <w:rsid w:val="00761B39"/>
    <w:rsid w:val="00762E6C"/>
    <w:rsid w:val="0076307F"/>
    <w:rsid w:val="007632EC"/>
    <w:rsid w:val="00763AA4"/>
    <w:rsid w:val="00764875"/>
    <w:rsid w:val="00764BA1"/>
    <w:rsid w:val="00764E54"/>
    <w:rsid w:val="00766F2A"/>
    <w:rsid w:val="00767BF2"/>
    <w:rsid w:val="00767E0E"/>
    <w:rsid w:val="00772A31"/>
    <w:rsid w:val="00772E67"/>
    <w:rsid w:val="007743C1"/>
    <w:rsid w:val="00775D51"/>
    <w:rsid w:val="00775FF5"/>
    <w:rsid w:val="00776CB1"/>
    <w:rsid w:val="007813B7"/>
    <w:rsid w:val="0078175E"/>
    <w:rsid w:val="007835AC"/>
    <w:rsid w:val="00785314"/>
    <w:rsid w:val="007858DE"/>
    <w:rsid w:val="00785B7E"/>
    <w:rsid w:val="00786AE0"/>
    <w:rsid w:val="00790ADA"/>
    <w:rsid w:val="007910B0"/>
    <w:rsid w:val="0079328E"/>
    <w:rsid w:val="00795E22"/>
    <w:rsid w:val="00797363"/>
    <w:rsid w:val="00797EA3"/>
    <w:rsid w:val="007A4677"/>
    <w:rsid w:val="007A5ED9"/>
    <w:rsid w:val="007A70F1"/>
    <w:rsid w:val="007B023F"/>
    <w:rsid w:val="007B18D4"/>
    <w:rsid w:val="007B2F32"/>
    <w:rsid w:val="007B3184"/>
    <w:rsid w:val="007B7C9F"/>
    <w:rsid w:val="007C365F"/>
    <w:rsid w:val="007C4257"/>
    <w:rsid w:val="007C4363"/>
    <w:rsid w:val="007C48C8"/>
    <w:rsid w:val="007C5445"/>
    <w:rsid w:val="007C6811"/>
    <w:rsid w:val="007D0E00"/>
    <w:rsid w:val="007D0FB8"/>
    <w:rsid w:val="007D14F0"/>
    <w:rsid w:val="007D176F"/>
    <w:rsid w:val="007D2F27"/>
    <w:rsid w:val="007D372F"/>
    <w:rsid w:val="007D480D"/>
    <w:rsid w:val="007D5425"/>
    <w:rsid w:val="007E1DB9"/>
    <w:rsid w:val="007E22B6"/>
    <w:rsid w:val="007E5513"/>
    <w:rsid w:val="007E5A13"/>
    <w:rsid w:val="007E6388"/>
    <w:rsid w:val="007E7312"/>
    <w:rsid w:val="007F0FCE"/>
    <w:rsid w:val="007F18C3"/>
    <w:rsid w:val="007F19B0"/>
    <w:rsid w:val="007F1DA5"/>
    <w:rsid w:val="007F28A2"/>
    <w:rsid w:val="007F383E"/>
    <w:rsid w:val="007F4FB6"/>
    <w:rsid w:val="007F500A"/>
    <w:rsid w:val="007F60F1"/>
    <w:rsid w:val="007F66C3"/>
    <w:rsid w:val="00802920"/>
    <w:rsid w:val="00803CAD"/>
    <w:rsid w:val="00803DC7"/>
    <w:rsid w:val="008042DC"/>
    <w:rsid w:val="008043E7"/>
    <w:rsid w:val="00805191"/>
    <w:rsid w:val="008065D3"/>
    <w:rsid w:val="008079CD"/>
    <w:rsid w:val="00817E01"/>
    <w:rsid w:val="00817F63"/>
    <w:rsid w:val="0082020F"/>
    <w:rsid w:val="0082075F"/>
    <w:rsid w:val="00820CA6"/>
    <w:rsid w:val="008226EC"/>
    <w:rsid w:val="00825F28"/>
    <w:rsid w:val="008262C6"/>
    <w:rsid w:val="008265F0"/>
    <w:rsid w:val="008273D2"/>
    <w:rsid w:val="00830256"/>
    <w:rsid w:val="00830806"/>
    <w:rsid w:val="00831493"/>
    <w:rsid w:val="00831833"/>
    <w:rsid w:val="0083252A"/>
    <w:rsid w:val="00832F9D"/>
    <w:rsid w:val="00833CE5"/>
    <w:rsid w:val="008361C6"/>
    <w:rsid w:val="00836DFC"/>
    <w:rsid w:val="00840E03"/>
    <w:rsid w:val="00842906"/>
    <w:rsid w:val="00843371"/>
    <w:rsid w:val="00843636"/>
    <w:rsid w:val="00843E46"/>
    <w:rsid w:val="00846FE8"/>
    <w:rsid w:val="00853AEE"/>
    <w:rsid w:val="00855C0B"/>
    <w:rsid w:val="00856B05"/>
    <w:rsid w:val="00857DE7"/>
    <w:rsid w:val="00860E26"/>
    <w:rsid w:val="00861E9C"/>
    <w:rsid w:val="00862590"/>
    <w:rsid w:val="00862ADE"/>
    <w:rsid w:val="008645E3"/>
    <w:rsid w:val="008667A2"/>
    <w:rsid w:val="00866BC4"/>
    <w:rsid w:val="00870090"/>
    <w:rsid w:val="00874176"/>
    <w:rsid w:val="00876FB3"/>
    <w:rsid w:val="0087732E"/>
    <w:rsid w:val="0088117F"/>
    <w:rsid w:val="00881BB8"/>
    <w:rsid w:val="00884CD7"/>
    <w:rsid w:val="00886867"/>
    <w:rsid w:val="008869B3"/>
    <w:rsid w:val="00887B45"/>
    <w:rsid w:val="008900D3"/>
    <w:rsid w:val="00892513"/>
    <w:rsid w:val="00893236"/>
    <w:rsid w:val="008936DA"/>
    <w:rsid w:val="00894117"/>
    <w:rsid w:val="008949FA"/>
    <w:rsid w:val="0089690F"/>
    <w:rsid w:val="00897815"/>
    <w:rsid w:val="008A0723"/>
    <w:rsid w:val="008A0E2C"/>
    <w:rsid w:val="008A3ABA"/>
    <w:rsid w:val="008A42DF"/>
    <w:rsid w:val="008A4659"/>
    <w:rsid w:val="008A4B33"/>
    <w:rsid w:val="008A4C26"/>
    <w:rsid w:val="008A56B8"/>
    <w:rsid w:val="008A5CC6"/>
    <w:rsid w:val="008A7117"/>
    <w:rsid w:val="008B033C"/>
    <w:rsid w:val="008B04A4"/>
    <w:rsid w:val="008B17E7"/>
    <w:rsid w:val="008B2CE0"/>
    <w:rsid w:val="008B46AF"/>
    <w:rsid w:val="008B4901"/>
    <w:rsid w:val="008B5874"/>
    <w:rsid w:val="008B5BC1"/>
    <w:rsid w:val="008B6C9B"/>
    <w:rsid w:val="008B6F32"/>
    <w:rsid w:val="008B7F3A"/>
    <w:rsid w:val="008C2740"/>
    <w:rsid w:val="008C55ED"/>
    <w:rsid w:val="008C596C"/>
    <w:rsid w:val="008C6695"/>
    <w:rsid w:val="008D0209"/>
    <w:rsid w:val="008D056E"/>
    <w:rsid w:val="008D2C42"/>
    <w:rsid w:val="008D5A41"/>
    <w:rsid w:val="008D7E8B"/>
    <w:rsid w:val="008E104C"/>
    <w:rsid w:val="008E108F"/>
    <w:rsid w:val="008E219D"/>
    <w:rsid w:val="008E33B0"/>
    <w:rsid w:val="008E6468"/>
    <w:rsid w:val="008F129B"/>
    <w:rsid w:val="008F16D2"/>
    <w:rsid w:val="008F6AAF"/>
    <w:rsid w:val="008F6BB2"/>
    <w:rsid w:val="00901CD0"/>
    <w:rsid w:val="00903A70"/>
    <w:rsid w:val="009073D7"/>
    <w:rsid w:val="00907404"/>
    <w:rsid w:val="00913A76"/>
    <w:rsid w:val="00915298"/>
    <w:rsid w:val="00915C4F"/>
    <w:rsid w:val="009160B6"/>
    <w:rsid w:val="009204F8"/>
    <w:rsid w:val="00920C11"/>
    <w:rsid w:val="009211BA"/>
    <w:rsid w:val="009212D1"/>
    <w:rsid w:val="0092319A"/>
    <w:rsid w:val="00923710"/>
    <w:rsid w:val="009244E7"/>
    <w:rsid w:val="00931A0A"/>
    <w:rsid w:val="00931B2C"/>
    <w:rsid w:val="00931C09"/>
    <w:rsid w:val="00932013"/>
    <w:rsid w:val="00933BED"/>
    <w:rsid w:val="00934799"/>
    <w:rsid w:val="00936F31"/>
    <w:rsid w:val="009457D7"/>
    <w:rsid w:val="00945A6F"/>
    <w:rsid w:val="00946A6B"/>
    <w:rsid w:val="0095152D"/>
    <w:rsid w:val="00951F35"/>
    <w:rsid w:val="0095233B"/>
    <w:rsid w:val="00953A2D"/>
    <w:rsid w:val="00954F66"/>
    <w:rsid w:val="00955767"/>
    <w:rsid w:val="0095795F"/>
    <w:rsid w:val="009600ED"/>
    <w:rsid w:val="00961C70"/>
    <w:rsid w:val="00961F2F"/>
    <w:rsid w:val="00962635"/>
    <w:rsid w:val="00962AA6"/>
    <w:rsid w:val="009634A7"/>
    <w:rsid w:val="009637F4"/>
    <w:rsid w:val="0096418A"/>
    <w:rsid w:val="00964D10"/>
    <w:rsid w:val="00964DAB"/>
    <w:rsid w:val="00966814"/>
    <w:rsid w:val="0097218E"/>
    <w:rsid w:val="0097323E"/>
    <w:rsid w:val="00976C4B"/>
    <w:rsid w:val="00977B5E"/>
    <w:rsid w:val="00980755"/>
    <w:rsid w:val="00980A38"/>
    <w:rsid w:val="009820FF"/>
    <w:rsid w:val="0098303C"/>
    <w:rsid w:val="00983858"/>
    <w:rsid w:val="00985DAE"/>
    <w:rsid w:val="00993F28"/>
    <w:rsid w:val="0099534F"/>
    <w:rsid w:val="00995F9A"/>
    <w:rsid w:val="009A1768"/>
    <w:rsid w:val="009A1D01"/>
    <w:rsid w:val="009A1F29"/>
    <w:rsid w:val="009A3527"/>
    <w:rsid w:val="009A645F"/>
    <w:rsid w:val="009B04EA"/>
    <w:rsid w:val="009B05DE"/>
    <w:rsid w:val="009B0D35"/>
    <w:rsid w:val="009B1BFA"/>
    <w:rsid w:val="009B241D"/>
    <w:rsid w:val="009B3069"/>
    <w:rsid w:val="009B43D8"/>
    <w:rsid w:val="009B468D"/>
    <w:rsid w:val="009B5604"/>
    <w:rsid w:val="009B5605"/>
    <w:rsid w:val="009B5D63"/>
    <w:rsid w:val="009C3C3F"/>
    <w:rsid w:val="009C4C8A"/>
    <w:rsid w:val="009C5D62"/>
    <w:rsid w:val="009D0762"/>
    <w:rsid w:val="009D1526"/>
    <w:rsid w:val="009D1E0B"/>
    <w:rsid w:val="009D30E1"/>
    <w:rsid w:val="009D3E97"/>
    <w:rsid w:val="009D59A9"/>
    <w:rsid w:val="009E4C76"/>
    <w:rsid w:val="009E651A"/>
    <w:rsid w:val="009E6BF5"/>
    <w:rsid w:val="009F1F9C"/>
    <w:rsid w:val="009F410B"/>
    <w:rsid w:val="009F6D64"/>
    <w:rsid w:val="00A0196B"/>
    <w:rsid w:val="00A01BB0"/>
    <w:rsid w:val="00A01C8B"/>
    <w:rsid w:val="00A0217E"/>
    <w:rsid w:val="00A02FAA"/>
    <w:rsid w:val="00A03383"/>
    <w:rsid w:val="00A04433"/>
    <w:rsid w:val="00A05D5C"/>
    <w:rsid w:val="00A05E4B"/>
    <w:rsid w:val="00A070F3"/>
    <w:rsid w:val="00A07200"/>
    <w:rsid w:val="00A076DD"/>
    <w:rsid w:val="00A1126B"/>
    <w:rsid w:val="00A120B8"/>
    <w:rsid w:val="00A143B1"/>
    <w:rsid w:val="00A15357"/>
    <w:rsid w:val="00A1542A"/>
    <w:rsid w:val="00A159D4"/>
    <w:rsid w:val="00A16204"/>
    <w:rsid w:val="00A16298"/>
    <w:rsid w:val="00A166E4"/>
    <w:rsid w:val="00A1675C"/>
    <w:rsid w:val="00A17275"/>
    <w:rsid w:val="00A17AB0"/>
    <w:rsid w:val="00A20E39"/>
    <w:rsid w:val="00A21CA0"/>
    <w:rsid w:val="00A22CC7"/>
    <w:rsid w:val="00A23353"/>
    <w:rsid w:val="00A23B9B"/>
    <w:rsid w:val="00A24BAE"/>
    <w:rsid w:val="00A2586C"/>
    <w:rsid w:val="00A27CC7"/>
    <w:rsid w:val="00A27D19"/>
    <w:rsid w:val="00A30DA8"/>
    <w:rsid w:val="00A3237B"/>
    <w:rsid w:val="00A3763B"/>
    <w:rsid w:val="00A404EA"/>
    <w:rsid w:val="00A411A1"/>
    <w:rsid w:val="00A420D5"/>
    <w:rsid w:val="00A42DAA"/>
    <w:rsid w:val="00A43903"/>
    <w:rsid w:val="00A44AF8"/>
    <w:rsid w:val="00A4653D"/>
    <w:rsid w:val="00A47ED5"/>
    <w:rsid w:val="00A511DE"/>
    <w:rsid w:val="00A51488"/>
    <w:rsid w:val="00A52A41"/>
    <w:rsid w:val="00A52CCD"/>
    <w:rsid w:val="00A55681"/>
    <w:rsid w:val="00A55848"/>
    <w:rsid w:val="00A55ABB"/>
    <w:rsid w:val="00A5747D"/>
    <w:rsid w:val="00A623CB"/>
    <w:rsid w:val="00A64438"/>
    <w:rsid w:val="00A64F1C"/>
    <w:rsid w:val="00A6754A"/>
    <w:rsid w:val="00A67F26"/>
    <w:rsid w:val="00A742EB"/>
    <w:rsid w:val="00A744AF"/>
    <w:rsid w:val="00A751A0"/>
    <w:rsid w:val="00A7610E"/>
    <w:rsid w:val="00A77D3A"/>
    <w:rsid w:val="00A800C5"/>
    <w:rsid w:val="00A80622"/>
    <w:rsid w:val="00A80B65"/>
    <w:rsid w:val="00A82A36"/>
    <w:rsid w:val="00A84B1D"/>
    <w:rsid w:val="00A84FA4"/>
    <w:rsid w:val="00A85341"/>
    <w:rsid w:val="00A861F8"/>
    <w:rsid w:val="00A8797D"/>
    <w:rsid w:val="00A92CE3"/>
    <w:rsid w:val="00A942B6"/>
    <w:rsid w:val="00A94C7E"/>
    <w:rsid w:val="00A94EE7"/>
    <w:rsid w:val="00A95DD7"/>
    <w:rsid w:val="00A966CB"/>
    <w:rsid w:val="00A97C21"/>
    <w:rsid w:val="00AA165E"/>
    <w:rsid w:val="00AA1925"/>
    <w:rsid w:val="00AB29B6"/>
    <w:rsid w:val="00AB4C36"/>
    <w:rsid w:val="00AB5255"/>
    <w:rsid w:val="00AB6DE2"/>
    <w:rsid w:val="00AB7894"/>
    <w:rsid w:val="00AB7F14"/>
    <w:rsid w:val="00AC2E20"/>
    <w:rsid w:val="00AC5723"/>
    <w:rsid w:val="00AC7C03"/>
    <w:rsid w:val="00AD0A95"/>
    <w:rsid w:val="00AD130E"/>
    <w:rsid w:val="00AD1F4F"/>
    <w:rsid w:val="00AD42C3"/>
    <w:rsid w:val="00AD5D1C"/>
    <w:rsid w:val="00AD766B"/>
    <w:rsid w:val="00AE0F1D"/>
    <w:rsid w:val="00AE1021"/>
    <w:rsid w:val="00AE1836"/>
    <w:rsid w:val="00AE300E"/>
    <w:rsid w:val="00AE3587"/>
    <w:rsid w:val="00AE584B"/>
    <w:rsid w:val="00AE67B6"/>
    <w:rsid w:val="00AE75F7"/>
    <w:rsid w:val="00AF0DAB"/>
    <w:rsid w:val="00AF11DB"/>
    <w:rsid w:val="00AF1BC0"/>
    <w:rsid w:val="00AF2813"/>
    <w:rsid w:val="00AF3004"/>
    <w:rsid w:val="00AF32DB"/>
    <w:rsid w:val="00AF3544"/>
    <w:rsid w:val="00AF366D"/>
    <w:rsid w:val="00AF4945"/>
    <w:rsid w:val="00AF5705"/>
    <w:rsid w:val="00AF6A02"/>
    <w:rsid w:val="00B025D1"/>
    <w:rsid w:val="00B03955"/>
    <w:rsid w:val="00B06228"/>
    <w:rsid w:val="00B06C26"/>
    <w:rsid w:val="00B06F21"/>
    <w:rsid w:val="00B07033"/>
    <w:rsid w:val="00B10C13"/>
    <w:rsid w:val="00B10EB9"/>
    <w:rsid w:val="00B13D40"/>
    <w:rsid w:val="00B146AC"/>
    <w:rsid w:val="00B16670"/>
    <w:rsid w:val="00B16EBF"/>
    <w:rsid w:val="00B177BB"/>
    <w:rsid w:val="00B2102A"/>
    <w:rsid w:val="00B220A8"/>
    <w:rsid w:val="00B229F4"/>
    <w:rsid w:val="00B23234"/>
    <w:rsid w:val="00B237B7"/>
    <w:rsid w:val="00B237CF"/>
    <w:rsid w:val="00B237E9"/>
    <w:rsid w:val="00B24197"/>
    <w:rsid w:val="00B24B27"/>
    <w:rsid w:val="00B25489"/>
    <w:rsid w:val="00B2733A"/>
    <w:rsid w:val="00B2784F"/>
    <w:rsid w:val="00B27EFF"/>
    <w:rsid w:val="00B32292"/>
    <w:rsid w:val="00B337FE"/>
    <w:rsid w:val="00B34335"/>
    <w:rsid w:val="00B3516C"/>
    <w:rsid w:val="00B35A86"/>
    <w:rsid w:val="00B35B99"/>
    <w:rsid w:val="00B35CCB"/>
    <w:rsid w:val="00B42B7C"/>
    <w:rsid w:val="00B43388"/>
    <w:rsid w:val="00B436E4"/>
    <w:rsid w:val="00B447A1"/>
    <w:rsid w:val="00B4497C"/>
    <w:rsid w:val="00B4576B"/>
    <w:rsid w:val="00B51227"/>
    <w:rsid w:val="00B51FFD"/>
    <w:rsid w:val="00B52917"/>
    <w:rsid w:val="00B531BF"/>
    <w:rsid w:val="00B53AB6"/>
    <w:rsid w:val="00B6377A"/>
    <w:rsid w:val="00B6594D"/>
    <w:rsid w:val="00B6596D"/>
    <w:rsid w:val="00B65C41"/>
    <w:rsid w:val="00B66D27"/>
    <w:rsid w:val="00B67583"/>
    <w:rsid w:val="00B678B7"/>
    <w:rsid w:val="00B70AD7"/>
    <w:rsid w:val="00B71106"/>
    <w:rsid w:val="00B73580"/>
    <w:rsid w:val="00B739CB"/>
    <w:rsid w:val="00B740BC"/>
    <w:rsid w:val="00B7477C"/>
    <w:rsid w:val="00B75FA1"/>
    <w:rsid w:val="00B75FCC"/>
    <w:rsid w:val="00B764F4"/>
    <w:rsid w:val="00B76528"/>
    <w:rsid w:val="00B8082D"/>
    <w:rsid w:val="00B8301B"/>
    <w:rsid w:val="00B8357D"/>
    <w:rsid w:val="00B83887"/>
    <w:rsid w:val="00B84D40"/>
    <w:rsid w:val="00B85E80"/>
    <w:rsid w:val="00B86558"/>
    <w:rsid w:val="00B86CD1"/>
    <w:rsid w:val="00B90C18"/>
    <w:rsid w:val="00B91788"/>
    <w:rsid w:val="00B917B6"/>
    <w:rsid w:val="00B92ED6"/>
    <w:rsid w:val="00B96C0A"/>
    <w:rsid w:val="00BA0FDB"/>
    <w:rsid w:val="00BA1429"/>
    <w:rsid w:val="00BA2259"/>
    <w:rsid w:val="00BA271E"/>
    <w:rsid w:val="00BA3E83"/>
    <w:rsid w:val="00BA3F4D"/>
    <w:rsid w:val="00BA4DA4"/>
    <w:rsid w:val="00BA550B"/>
    <w:rsid w:val="00BA55CD"/>
    <w:rsid w:val="00BA5C93"/>
    <w:rsid w:val="00BA7EBC"/>
    <w:rsid w:val="00BB4475"/>
    <w:rsid w:val="00BC2406"/>
    <w:rsid w:val="00BC4EC0"/>
    <w:rsid w:val="00BC71EB"/>
    <w:rsid w:val="00BC753E"/>
    <w:rsid w:val="00BD0FD9"/>
    <w:rsid w:val="00BD3708"/>
    <w:rsid w:val="00BD3BB4"/>
    <w:rsid w:val="00BD3C7F"/>
    <w:rsid w:val="00BD4228"/>
    <w:rsid w:val="00BD69F5"/>
    <w:rsid w:val="00BD715C"/>
    <w:rsid w:val="00BE0848"/>
    <w:rsid w:val="00BE0B0A"/>
    <w:rsid w:val="00BE264D"/>
    <w:rsid w:val="00BE27FB"/>
    <w:rsid w:val="00BE30E3"/>
    <w:rsid w:val="00BE31E5"/>
    <w:rsid w:val="00BE4448"/>
    <w:rsid w:val="00BE61E9"/>
    <w:rsid w:val="00BF1A71"/>
    <w:rsid w:val="00BF329A"/>
    <w:rsid w:val="00BF3459"/>
    <w:rsid w:val="00BF52BA"/>
    <w:rsid w:val="00BF7C2A"/>
    <w:rsid w:val="00C00929"/>
    <w:rsid w:val="00C02A5A"/>
    <w:rsid w:val="00C0347C"/>
    <w:rsid w:val="00C04A51"/>
    <w:rsid w:val="00C065A3"/>
    <w:rsid w:val="00C0689F"/>
    <w:rsid w:val="00C06CAD"/>
    <w:rsid w:val="00C07FCE"/>
    <w:rsid w:val="00C10323"/>
    <w:rsid w:val="00C131D7"/>
    <w:rsid w:val="00C13CA2"/>
    <w:rsid w:val="00C15C80"/>
    <w:rsid w:val="00C1677F"/>
    <w:rsid w:val="00C16D34"/>
    <w:rsid w:val="00C17E03"/>
    <w:rsid w:val="00C20A71"/>
    <w:rsid w:val="00C23216"/>
    <w:rsid w:val="00C24EDF"/>
    <w:rsid w:val="00C25C25"/>
    <w:rsid w:val="00C25F57"/>
    <w:rsid w:val="00C326DE"/>
    <w:rsid w:val="00C34A3C"/>
    <w:rsid w:val="00C34DE3"/>
    <w:rsid w:val="00C35267"/>
    <w:rsid w:val="00C35458"/>
    <w:rsid w:val="00C3591A"/>
    <w:rsid w:val="00C41C9E"/>
    <w:rsid w:val="00C476AE"/>
    <w:rsid w:val="00C476FD"/>
    <w:rsid w:val="00C47F96"/>
    <w:rsid w:val="00C50873"/>
    <w:rsid w:val="00C52F6C"/>
    <w:rsid w:val="00C533AC"/>
    <w:rsid w:val="00C53A8E"/>
    <w:rsid w:val="00C53F1D"/>
    <w:rsid w:val="00C557D2"/>
    <w:rsid w:val="00C56D6C"/>
    <w:rsid w:val="00C56F9B"/>
    <w:rsid w:val="00C573E3"/>
    <w:rsid w:val="00C6113E"/>
    <w:rsid w:val="00C61F7B"/>
    <w:rsid w:val="00C627C5"/>
    <w:rsid w:val="00C62B4D"/>
    <w:rsid w:val="00C63080"/>
    <w:rsid w:val="00C64201"/>
    <w:rsid w:val="00C64478"/>
    <w:rsid w:val="00C66CC6"/>
    <w:rsid w:val="00C71DDE"/>
    <w:rsid w:val="00C71EF2"/>
    <w:rsid w:val="00C72A30"/>
    <w:rsid w:val="00C7520C"/>
    <w:rsid w:val="00C76BA6"/>
    <w:rsid w:val="00C8163F"/>
    <w:rsid w:val="00C828EE"/>
    <w:rsid w:val="00C83A76"/>
    <w:rsid w:val="00C857E2"/>
    <w:rsid w:val="00C90842"/>
    <w:rsid w:val="00C9118D"/>
    <w:rsid w:val="00C916C3"/>
    <w:rsid w:val="00C92673"/>
    <w:rsid w:val="00C9320D"/>
    <w:rsid w:val="00C96A65"/>
    <w:rsid w:val="00CA00ED"/>
    <w:rsid w:val="00CA4140"/>
    <w:rsid w:val="00CA48D4"/>
    <w:rsid w:val="00CA503F"/>
    <w:rsid w:val="00CA52E8"/>
    <w:rsid w:val="00CA570E"/>
    <w:rsid w:val="00CA5C94"/>
    <w:rsid w:val="00CA6B72"/>
    <w:rsid w:val="00CA6BDF"/>
    <w:rsid w:val="00CA6C9A"/>
    <w:rsid w:val="00CB0C98"/>
    <w:rsid w:val="00CB2005"/>
    <w:rsid w:val="00CB233B"/>
    <w:rsid w:val="00CB47F4"/>
    <w:rsid w:val="00CB5C69"/>
    <w:rsid w:val="00CB704A"/>
    <w:rsid w:val="00CB7CF8"/>
    <w:rsid w:val="00CC001D"/>
    <w:rsid w:val="00CC00ED"/>
    <w:rsid w:val="00CC14BE"/>
    <w:rsid w:val="00CC4DF9"/>
    <w:rsid w:val="00CC50D8"/>
    <w:rsid w:val="00CC6180"/>
    <w:rsid w:val="00CC69CD"/>
    <w:rsid w:val="00CC7668"/>
    <w:rsid w:val="00CD06B6"/>
    <w:rsid w:val="00CD1ED6"/>
    <w:rsid w:val="00CD2FCD"/>
    <w:rsid w:val="00CD34F6"/>
    <w:rsid w:val="00CD4887"/>
    <w:rsid w:val="00CD5755"/>
    <w:rsid w:val="00CD5AA9"/>
    <w:rsid w:val="00CD608D"/>
    <w:rsid w:val="00CD6539"/>
    <w:rsid w:val="00CE0C82"/>
    <w:rsid w:val="00CE2104"/>
    <w:rsid w:val="00CE3E7F"/>
    <w:rsid w:val="00CE4326"/>
    <w:rsid w:val="00CE48CB"/>
    <w:rsid w:val="00CE600D"/>
    <w:rsid w:val="00CE6204"/>
    <w:rsid w:val="00CE6CA3"/>
    <w:rsid w:val="00CF0206"/>
    <w:rsid w:val="00CF0BE3"/>
    <w:rsid w:val="00CF0CAC"/>
    <w:rsid w:val="00CF148D"/>
    <w:rsid w:val="00CF271C"/>
    <w:rsid w:val="00CF3F95"/>
    <w:rsid w:val="00CF4BEE"/>
    <w:rsid w:val="00CF5AD7"/>
    <w:rsid w:val="00CF605D"/>
    <w:rsid w:val="00CF7539"/>
    <w:rsid w:val="00D0114F"/>
    <w:rsid w:val="00D0132B"/>
    <w:rsid w:val="00D0169A"/>
    <w:rsid w:val="00D017EB"/>
    <w:rsid w:val="00D01D38"/>
    <w:rsid w:val="00D02D78"/>
    <w:rsid w:val="00D03CDC"/>
    <w:rsid w:val="00D0502C"/>
    <w:rsid w:val="00D05309"/>
    <w:rsid w:val="00D07B18"/>
    <w:rsid w:val="00D10657"/>
    <w:rsid w:val="00D10713"/>
    <w:rsid w:val="00D11B18"/>
    <w:rsid w:val="00D126AB"/>
    <w:rsid w:val="00D15D78"/>
    <w:rsid w:val="00D160B7"/>
    <w:rsid w:val="00D16ACA"/>
    <w:rsid w:val="00D21D54"/>
    <w:rsid w:val="00D237DF"/>
    <w:rsid w:val="00D2411F"/>
    <w:rsid w:val="00D2465D"/>
    <w:rsid w:val="00D25E6A"/>
    <w:rsid w:val="00D26062"/>
    <w:rsid w:val="00D3009C"/>
    <w:rsid w:val="00D30C4D"/>
    <w:rsid w:val="00D30D98"/>
    <w:rsid w:val="00D31EC9"/>
    <w:rsid w:val="00D3263E"/>
    <w:rsid w:val="00D32F32"/>
    <w:rsid w:val="00D3369F"/>
    <w:rsid w:val="00D3490B"/>
    <w:rsid w:val="00D34D4A"/>
    <w:rsid w:val="00D405B5"/>
    <w:rsid w:val="00D4083F"/>
    <w:rsid w:val="00D408D5"/>
    <w:rsid w:val="00D417B0"/>
    <w:rsid w:val="00D4243E"/>
    <w:rsid w:val="00D42CC8"/>
    <w:rsid w:val="00D44247"/>
    <w:rsid w:val="00D46A47"/>
    <w:rsid w:val="00D4745B"/>
    <w:rsid w:val="00D5013D"/>
    <w:rsid w:val="00D51FB4"/>
    <w:rsid w:val="00D52B15"/>
    <w:rsid w:val="00D52E16"/>
    <w:rsid w:val="00D56591"/>
    <w:rsid w:val="00D57B83"/>
    <w:rsid w:val="00D57CAA"/>
    <w:rsid w:val="00D60CFB"/>
    <w:rsid w:val="00D6213E"/>
    <w:rsid w:val="00D62664"/>
    <w:rsid w:val="00D632DD"/>
    <w:rsid w:val="00D63C37"/>
    <w:rsid w:val="00D64D27"/>
    <w:rsid w:val="00D65B3A"/>
    <w:rsid w:val="00D65B48"/>
    <w:rsid w:val="00D667FC"/>
    <w:rsid w:val="00D67ADC"/>
    <w:rsid w:val="00D70DEC"/>
    <w:rsid w:val="00D7129B"/>
    <w:rsid w:val="00D7227E"/>
    <w:rsid w:val="00D7636C"/>
    <w:rsid w:val="00D77440"/>
    <w:rsid w:val="00D81597"/>
    <w:rsid w:val="00D8594C"/>
    <w:rsid w:val="00D86343"/>
    <w:rsid w:val="00D902CD"/>
    <w:rsid w:val="00D9162E"/>
    <w:rsid w:val="00D93ABD"/>
    <w:rsid w:val="00D95E37"/>
    <w:rsid w:val="00DA0D5D"/>
    <w:rsid w:val="00DA2B9F"/>
    <w:rsid w:val="00DA2CB8"/>
    <w:rsid w:val="00DA2CDA"/>
    <w:rsid w:val="00DA554D"/>
    <w:rsid w:val="00DA5DB5"/>
    <w:rsid w:val="00DA6F45"/>
    <w:rsid w:val="00DA72C5"/>
    <w:rsid w:val="00DA7A3F"/>
    <w:rsid w:val="00DA7CDA"/>
    <w:rsid w:val="00DA7CF9"/>
    <w:rsid w:val="00DB0F10"/>
    <w:rsid w:val="00DB1561"/>
    <w:rsid w:val="00DB16CF"/>
    <w:rsid w:val="00DB2147"/>
    <w:rsid w:val="00DB3C6B"/>
    <w:rsid w:val="00DB6017"/>
    <w:rsid w:val="00DB7B27"/>
    <w:rsid w:val="00DB7C14"/>
    <w:rsid w:val="00DC0C77"/>
    <w:rsid w:val="00DC2401"/>
    <w:rsid w:val="00DC3B22"/>
    <w:rsid w:val="00DC44E7"/>
    <w:rsid w:val="00DC4830"/>
    <w:rsid w:val="00DC4F78"/>
    <w:rsid w:val="00DC7EF2"/>
    <w:rsid w:val="00DD0DF3"/>
    <w:rsid w:val="00DD0F38"/>
    <w:rsid w:val="00DD2BF6"/>
    <w:rsid w:val="00DD7836"/>
    <w:rsid w:val="00DE03C2"/>
    <w:rsid w:val="00DE056A"/>
    <w:rsid w:val="00DE2B04"/>
    <w:rsid w:val="00DE3661"/>
    <w:rsid w:val="00DE3AE4"/>
    <w:rsid w:val="00DE4393"/>
    <w:rsid w:val="00DE49AB"/>
    <w:rsid w:val="00DE4D91"/>
    <w:rsid w:val="00DE7C0E"/>
    <w:rsid w:val="00DF027F"/>
    <w:rsid w:val="00DF1A00"/>
    <w:rsid w:val="00DF251A"/>
    <w:rsid w:val="00DF4D97"/>
    <w:rsid w:val="00DF6B2D"/>
    <w:rsid w:val="00DF6C2B"/>
    <w:rsid w:val="00E0099A"/>
    <w:rsid w:val="00E00DDD"/>
    <w:rsid w:val="00E0149E"/>
    <w:rsid w:val="00E02084"/>
    <w:rsid w:val="00E02F0A"/>
    <w:rsid w:val="00E030D9"/>
    <w:rsid w:val="00E03ED1"/>
    <w:rsid w:val="00E03F0D"/>
    <w:rsid w:val="00E10063"/>
    <w:rsid w:val="00E10BFB"/>
    <w:rsid w:val="00E11388"/>
    <w:rsid w:val="00E11CE9"/>
    <w:rsid w:val="00E11EA1"/>
    <w:rsid w:val="00E12232"/>
    <w:rsid w:val="00E129E5"/>
    <w:rsid w:val="00E12E04"/>
    <w:rsid w:val="00E1379C"/>
    <w:rsid w:val="00E13F7A"/>
    <w:rsid w:val="00E15E32"/>
    <w:rsid w:val="00E16697"/>
    <w:rsid w:val="00E17E76"/>
    <w:rsid w:val="00E20443"/>
    <w:rsid w:val="00E22282"/>
    <w:rsid w:val="00E226DB"/>
    <w:rsid w:val="00E23F8E"/>
    <w:rsid w:val="00E252B6"/>
    <w:rsid w:val="00E25BE6"/>
    <w:rsid w:val="00E25D97"/>
    <w:rsid w:val="00E25F2F"/>
    <w:rsid w:val="00E270BC"/>
    <w:rsid w:val="00E3264B"/>
    <w:rsid w:val="00E32E02"/>
    <w:rsid w:val="00E347DE"/>
    <w:rsid w:val="00E34B1E"/>
    <w:rsid w:val="00E34C73"/>
    <w:rsid w:val="00E353C3"/>
    <w:rsid w:val="00E355D4"/>
    <w:rsid w:val="00E35EC1"/>
    <w:rsid w:val="00E35FBD"/>
    <w:rsid w:val="00E372E1"/>
    <w:rsid w:val="00E37C00"/>
    <w:rsid w:val="00E37DFE"/>
    <w:rsid w:val="00E42123"/>
    <w:rsid w:val="00E422AF"/>
    <w:rsid w:val="00E43A9B"/>
    <w:rsid w:val="00E44E4E"/>
    <w:rsid w:val="00E45689"/>
    <w:rsid w:val="00E50EF4"/>
    <w:rsid w:val="00E5102F"/>
    <w:rsid w:val="00E51045"/>
    <w:rsid w:val="00E539A2"/>
    <w:rsid w:val="00E57B69"/>
    <w:rsid w:val="00E57B87"/>
    <w:rsid w:val="00E602E9"/>
    <w:rsid w:val="00E62A79"/>
    <w:rsid w:val="00E62B1F"/>
    <w:rsid w:val="00E6322D"/>
    <w:rsid w:val="00E634C3"/>
    <w:rsid w:val="00E6661A"/>
    <w:rsid w:val="00E66B2F"/>
    <w:rsid w:val="00E70AFC"/>
    <w:rsid w:val="00E70CBC"/>
    <w:rsid w:val="00E70F95"/>
    <w:rsid w:val="00E71051"/>
    <w:rsid w:val="00E717CA"/>
    <w:rsid w:val="00E74834"/>
    <w:rsid w:val="00E74A8F"/>
    <w:rsid w:val="00E74D40"/>
    <w:rsid w:val="00E75694"/>
    <w:rsid w:val="00E75CDC"/>
    <w:rsid w:val="00E76452"/>
    <w:rsid w:val="00E76817"/>
    <w:rsid w:val="00E77868"/>
    <w:rsid w:val="00E80601"/>
    <w:rsid w:val="00E8097D"/>
    <w:rsid w:val="00E82777"/>
    <w:rsid w:val="00E83125"/>
    <w:rsid w:val="00E83B21"/>
    <w:rsid w:val="00E84847"/>
    <w:rsid w:val="00E855D0"/>
    <w:rsid w:val="00E8574C"/>
    <w:rsid w:val="00E85B0E"/>
    <w:rsid w:val="00E85E77"/>
    <w:rsid w:val="00E8675E"/>
    <w:rsid w:val="00E8799F"/>
    <w:rsid w:val="00E90250"/>
    <w:rsid w:val="00E90D39"/>
    <w:rsid w:val="00E924C2"/>
    <w:rsid w:val="00E93449"/>
    <w:rsid w:val="00E9482A"/>
    <w:rsid w:val="00E959B0"/>
    <w:rsid w:val="00E9778C"/>
    <w:rsid w:val="00EA2263"/>
    <w:rsid w:val="00EA27A7"/>
    <w:rsid w:val="00EA2D37"/>
    <w:rsid w:val="00EA49EA"/>
    <w:rsid w:val="00EA5DB0"/>
    <w:rsid w:val="00EA7C7C"/>
    <w:rsid w:val="00EA7DC0"/>
    <w:rsid w:val="00EB10DB"/>
    <w:rsid w:val="00EB2157"/>
    <w:rsid w:val="00EB33EE"/>
    <w:rsid w:val="00EB446E"/>
    <w:rsid w:val="00EB4B9D"/>
    <w:rsid w:val="00EB7C49"/>
    <w:rsid w:val="00EC03BB"/>
    <w:rsid w:val="00EC0619"/>
    <w:rsid w:val="00EC0697"/>
    <w:rsid w:val="00EC1658"/>
    <w:rsid w:val="00EC20B1"/>
    <w:rsid w:val="00EC2E4C"/>
    <w:rsid w:val="00EC675F"/>
    <w:rsid w:val="00ED2366"/>
    <w:rsid w:val="00ED4D8F"/>
    <w:rsid w:val="00ED53B0"/>
    <w:rsid w:val="00ED5780"/>
    <w:rsid w:val="00ED66C1"/>
    <w:rsid w:val="00EE11F5"/>
    <w:rsid w:val="00EE2AFF"/>
    <w:rsid w:val="00EE32FC"/>
    <w:rsid w:val="00EE340D"/>
    <w:rsid w:val="00EE5FE8"/>
    <w:rsid w:val="00EE60F8"/>
    <w:rsid w:val="00EE6236"/>
    <w:rsid w:val="00EE6AD2"/>
    <w:rsid w:val="00EE7040"/>
    <w:rsid w:val="00EE76EB"/>
    <w:rsid w:val="00EE77C9"/>
    <w:rsid w:val="00EF4104"/>
    <w:rsid w:val="00EF499B"/>
    <w:rsid w:val="00EF5421"/>
    <w:rsid w:val="00EF555D"/>
    <w:rsid w:val="00EF55D9"/>
    <w:rsid w:val="00EF57F8"/>
    <w:rsid w:val="00EF5F24"/>
    <w:rsid w:val="00F003BB"/>
    <w:rsid w:val="00F01E29"/>
    <w:rsid w:val="00F05C06"/>
    <w:rsid w:val="00F066D6"/>
    <w:rsid w:val="00F06C64"/>
    <w:rsid w:val="00F07493"/>
    <w:rsid w:val="00F075AD"/>
    <w:rsid w:val="00F07C60"/>
    <w:rsid w:val="00F07E2F"/>
    <w:rsid w:val="00F13B99"/>
    <w:rsid w:val="00F144DF"/>
    <w:rsid w:val="00F14538"/>
    <w:rsid w:val="00F1469C"/>
    <w:rsid w:val="00F148C4"/>
    <w:rsid w:val="00F14C3F"/>
    <w:rsid w:val="00F15B16"/>
    <w:rsid w:val="00F15F26"/>
    <w:rsid w:val="00F17604"/>
    <w:rsid w:val="00F2174A"/>
    <w:rsid w:val="00F21FD0"/>
    <w:rsid w:val="00F221F8"/>
    <w:rsid w:val="00F2294B"/>
    <w:rsid w:val="00F22C8D"/>
    <w:rsid w:val="00F22C97"/>
    <w:rsid w:val="00F23499"/>
    <w:rsid w:val="00F275F7"/>
    <w:rsid w:val="00F277FB"/>
    <w:rsid w:val="00F30476"/>
    <w:rsid w:val="00F30A7F"/>
    <w:rsid w:val="00F32253"/>
    <w:rsid w:val="00F36361"/>
    <w:rsid w:val="00F372AD"/>
    <w:rsid w:val="00F37ABF"/>
    <w:rsid w:val="00F37DA1"/>
    <w:rsid w:val="00F4030A"/>
    <w:rsid w:val="00F40540"/>
    <w:rsid w:val="00F42E1D"/>
    <w:rsid w:val="00F43259"/>
    <w:rsid w:val="00F455E3"/>
    <w:rsid w:val="00F4570E"/>
    <w:rsid w:val="00F463F4"/>
    <w:rsid w:val="00F46A08"/>
    <w:rsid w:val="00F46E43"/>
    <w:rsid w:val="00F4789D"/>
    <w:rsid w:val="00F542F0"/>
    <w:rsid w:val="00F54996"/>
    <w:rsid w:val="00F5545E"/>
    <w:rsid w:val="00F55CAE"/>
    <w:rsid w:val="00F5689D"/>
    <w:rsid w:val="00F57A97"/>
    <w:rsid w:val="00F6055F"/>
    <w:rsid w:val="00F62DC7"/>
    <w:rsid w:val="00F6471A"/>
    <w:rsid w:val="00F65AD3"/>
    <w:rsid w:val="00F6662D"/>
    <w:rsid w:val="00F67C6A"/>
    <w:rsid w:val="00F7270B"/>
    <w:rsid w:val="00F72C17"/>
    <w:rsid w:val="00F73354"/>
    <w:rsid w:val="00F75F80"/>
    <w:rsid w:val="00F76D47"/>
    <w:rsid w:val="00F8014C"/>
    <w:rsid w:val="00F80FB1"/>
    <w:rsid w:val="00F810EC"/>
    <w:rsid w:val="00F8274B"/>
    <w:rsid w:val="00F8286A"/>
    <w:rsid w:val="00F832FC"/>
    <w:rsid w:val="00F83C70"/>
    <w:rsid w:val="00F8409D"/>
    <w:rsid w:val="00F843C0"/>
    <w:rsid w:val="00F851F7"/>
    <w:rsid w:val="00F853B2"/>
    <w:rsid w:val="00F857BA"/>
    <w:rsid w:val="00F90923"/>
    <w:rsid w:val="00F91B1E"/>
    <w:rsid w:val="00F921ED"/>
    <w:rsid w:val="00F937B8"/>
    <w:rsid w:val="00F94E8E"/>
    <w:rsid w:val="00F953F6"/>
    <w:rsid w:val="00F95788"/>
    <w:rsid w:val="00F9661A"/>
    <w:rsid w:val="00FA05D7"/>
    <w:rsid w:val="00FA17BA"/>
    <w:rsid w:val="00FA2244"/>
    <w:rsid w:val="00FA2328"/>
    <w:rsid w:val="00FA3604"/>
    <w:rsid w:val="00FA4C7B"/>
    <w:rsid w:val="00FA60DE"/>
    <w:rsid w:val="00FA758B"/>
    <w:rsid w:val="00FB09B4"/>
    <w:rsid w:val="00FB0B74"/>
    <w:rsid w:val="00FB11B3"/>
    <w:rsid w:val="00FB2B98"/>
    <w:rsid w:val="00FB4710"/>
    <w:rsid w:val="00FB48DC"/>
    <w:rsid w:val="00FB56C6"/>
    <w:rsid w:val="00FB5A02"/>
    <w:rsid w:val="00FB666E"/>
    <w:rsid w:val="00FB76E4"/>
    <w:rsid w:val="00FC06B2"/>
    <w:rsid w:val="00FC2F5F"/>
    <w:rsid w:val="00FC3AE6"/>
    <w:rsid w:val="00FC5323"/>
    <w:rsid w:val="00FC5395"/>
    <w:rsid w:val="00FC6264"/>
    <w:rsid w:val="00FC6DBA"/>
    <w:rsid w:val="00FC7861"/>
    <w:rsid w:val="00FD1243"/>
    <w:rsid w:val="00FD1F6F"/>
    <w:rsid w:val="00FD3F08"/>
    <w:rsid w:val="00FD513F"/>
    <w:rsid w:val="00FD596D"/>
    <w:rsid w:val="00FE1431"/>
    <w:rsid w:val="00FE2F8D"/>
    <w:rsid w:val="00FE34B0"/>
    <w:rsid w:val="00FE678D"/>
    <w:rsid w:val="00FE73E5"/>
    <w:rsid w:val="00FE7872"/>
    <w:rsid w:val="00FF044D"/>
    <w:rsid w:val="00FF2D5D"/>
    <w:rsid w:val="00FF346C"/>
    <w:rsid w:val="00FF48CE"/>
    <w:rsid w:val="00FF7CC6"/>
    <w:rsid w:val="04C3DF9E"/>
    <w:rsid w:val="066D9FB4"/>
    <w:rsid w:val="15333868"/>
    <w:rsid w:val="15D064EE"/>
    <w:rsid w:val="17173279"/>
    <w:rsid w:val="1C00A3D0"/>
    <w:rsid w:val="1D9E6C6F"/>
    <w:rsid w:val="2BA210A2"/>
    <w:rsid w:val="36A55168"/>
    <w:rsid w:val="3A4D2033"/>
    <w:rsid w:val="3A917FAA"/>
    <w:rsid w:val="3D53C764"/>
    <w:rsid w:val="3EF81CC3"/>
    <w:rsid w:val="44C41636"/>
    <w:rsid w:val="48B9C49A"/>
    <w:rsid w:val="4AADBFFA"/>
    <w:rsid w:val="4AE0E49A"/>
    <w:rsid w:val="4C17E2AC"/>
    <w:rsid w:val="5238C9C5"/>
    <w:rsid w:val="55248DC4"/>
    <w:rsid w:val="55A59C95"/>
    <w:rsid w:val="58F0D60E"/>
    <w:rsid w:val="697ED7FE"/>
    <w:rsid w:val="6FC180A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B33E272"/>
  <w14:defaultImageDpi w14:val="300"/>
  <w15:docId w15:val="{893CCAAC-7DEF-420A-8F4C-F6D810BF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645E3"/>
    <w:pPr>
      <w:keepNext/>
      <w:keepLines/>
      <w:spacing w:before="240" w:after="120" w:line="259" w:lineRule="auto"/>
      <w:jc w:val="both"/>
      <w:outlineLvl w:val="0"/>
    </w:pPr>
    <w:rPr>
      <w:rFonts w:ascii="Arial Black" w:eastAsiaTheme="majorEastAsia" w:hAnsi="Arial Black" w:cs="Arial"/>
      <w:b/>
      <w:color w:val="285C4D"/>
    </w:rPr>
  </w:style>
  <w:style w:type="paragraph" w:styleId="Ttulo2">
    <w:name w:val="heading 2"/>
    <w:basedOn w:val="Normal"/>
    <w:next w:val="Normal"/>
    <w:link w:val="Ttulo2Char"/>
    <w:uiPriority w:val="9"/>
    <w:unhideWhenUsed/>
    <w:qFormat/>
    <w:rsid w:val="00AF0DAB"/>
    <w:pPr>
      <w:keepNext/>
      <w:keepLines/>
      <w:numPr>
        <w:numId w:val="1"/>
      </w:numPr>
      <w:spacing w:before="120" w:after="120" w:line="259" w:lineRule="auto"/>
      <w:jc w:val="both"/>
      <w:outlineLvl w:val="1"/>
    </w:pPr>
    <w:rPr>
      <w:rFonts w:ascii="Arial Black" w:eastAsiaTheme="majorEastAsia" w:hAnsi="Arial Black" w:cs="Arial"/>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34452"/>
    <w:pPr>
      <w:tabs>
        <w:tab w:val="center" w:pos="4320"/>
        <w:tab w:val="right" w:pos="8640"/>
      </w:tabs>
    </w:pPr>
  </w:style>
  <w:style w:type="character" w:customStyle="1" w:styleId="CabealhoChar">
    <w:name w:val="Cabeçalho Char"/>
    <w:basedOn w:val="Fontepargpadro"/>
    <w:link w:val="Cabealho"/>
    <w:uiPriority w:val="99"/>
    <w:rsid w:val="00534452"/>
  </w:style>
  <w:style w:type="paragraph" w:styleId="Rodap">
    <w:name w:val="footer"/>
    <w:basedOn w:val="Normal"/>
    <w:link w:val="RodapChar"/>
    <w:unhideWhenUsed/>
    <w:rsid w:val="00534452"/>
    <w:pPr>
      <w:tabs>
        <w:tab w:val="center" w:pos="4320"/>
        <w:tab w:val="right" w:pos="8640"/>
      </w:tabs>
    </w:pPr>
  </w:style>
  <w:style w:type="character" w:customStyle="1" w:styleId="RodapChar">
    <w:name w:val="Rodapé Char"/>
    <w:basedOn w:val="Fontepargpadro"/>
    <w:link w:val="Rodap"/>
    <w:rsid w:val="00534452"/>
  </w:style>
  <w:style w:type="character" w:styleId="Nmerodepgina">
    <w:name w:val="page number"/>
    <w:basedOn w:val="Fontepargpadro"/>
    <w:unhideWhenUsed/>
    <w:rsid w:val="00534452"/>
  </w:style>
  <w:style w:type="paragraph" w:styleId="Textodebalo">
    <w:name w:val="Balloon Text"/>
    <w:basedOn w:val="Normal"/>
    <w:link w:val="TextodebaloChar"/>
    <w:uiPriority w:val="99"/>
    <w:semiHidden/>
    <w:unhideWhenUsed/>
    <w:rsid w:val="00534452"/>
    <w:rPr>
      <w:rFonts w:ascii="Lucida Grande" w:hAnsi="Lucida Grande" w:cs="Lucida Grande"/>
      <w:sz w:val="18"/>
    </w:rPr>
  </w:style>
  <w:style w:type="character" w:customStyle="1" w:styleId="TextodebaloChar">
    <w:name w:val="Texto de balão Char"/>
    <w:basedOn w:val="Fontepargpadro"/>
    <w:link w:val="Textodebalo"/>
    <w:uiPriority w:val="99"/>
    <w:semiHidden/>
    <w:rsid w:val="00534452"/>
    <w:rPr>
      <w:rFonts w:ascii="Lucida Grande" w:hAnsi="Lucida Grande" w:cs="Lucida Grande"/>
      <w:sz w:val="18"/>
    </w:rPr>
  </w:style>
  <w:style w:type="character" w:customStyle="1" w:styleId="FSCSubHeadline">
    <w:name w:val="FSC Sub Headline"/>
    <w:rsid w:val="00577EBC"/>
    <w:rPr>
      <w:rFonts w:ascii="Arial" w:hAnsi="Arial"/>
      <w:color w:val="FFFFFF"/>
      <w:sz w:val="33"/>
    </w:rPr>
  </w:style>
  <w:style w:type="paragraph" w:styleId="SemEspaamento">
    <w:name w:val="No Spacing"/>
    <w:uiPriority w:val="1"/>
    <w:qFormat/>
    <w:rsid w:val="00FB76E4"/>
    <w:rPr>
      <w:rFonts w:ascii="Arial" w:hAnsi="Arial"/>
      <w:sz w:val="22"/>
    </w:rPr>
  </w:style>
  <w:style w:type="paragraph" w:customStyle="1" w:styleId="1bodytext">
    <w:name w:val="1 body text"/>
    <w:basedOn w:val="Normal"/>
    <w:qFormat/>
    <w:rsid w:val="004837B6"/>
    <w:pPr>
      <w:spacing w:after="280" w:line="280" w:lineRule="exact"/>
    </w:pPr>
    <w:rPr>
      <w:rFonts w:ascii="Arial" w:eastAsia="Calibri" w:hAnsi="Arial" w:cs="Arial"/>
      <w:sz w:val="22"/>
    </w:rPr>
  </w:style>
  <w:style w:type="paragraph" w:customStyle="1" w:styleId="2SectionTitles">
    <w:name w:val="2 Section Titles"/>
    <w:basedOn w:val="Ttulo"/>
    <w:qFormat/>
    <w:rsid w:val="004837B6"/>
    <w:rPr>
      <w:rFonts w:ascii="Arial" w:hAnsi="Arial"/>
      <w:sz w:val="32"/>
    </w:rPr>
  </w:style>
  <w:style w:type="paragraph" w:styleId="Ttulo">
    <w:name w:val="Title"/>
    <w:basedOn w:val="Normal"/>
    <w:next w:val="Normal"/>
    <w:link w:val="TtuloChar"/>
    <w:uiPriority w:val="10"/>
    <w:qFormat/>
    <w:rsid w:val="004837B6"/>
    <w:pPr>
      <w:contextualSpacing/>
    </w:pPr>
    <w:rPr>
      <w:rFonts w:asciiTheme="majorHAnsi" w:eastAsiaTheme="majorEastAsia" w:hAnsiTheme="majorHAnsi" w:cstheme="majorBidi"/>
      <w:kern w:val="28"/>
      <w:sz w:val="56"/>
    </w:rPr>
  </w:style>
  <w:style w:type="character" w:customStyle="1" w:styleId="TtuloChar">
    <w:name w:val="Título Char"/>
    <w:basedOn w:val="Fontepargpadro"/>
    <w:link w:val="Ttulo"/>
    <w:uiPriority w:val="10"/>
    <w:rsid w:val="004837B6"/>
    <w:rPr>
      <w:rFonts w:asciiTheme="majorHAnsi" w:eastAsiaTheme="majorEastAsia" w:hAnsiTheme="majorHAnsi" w:cstheme="majorBidi"/>
      <w:kern w:val="28"/>
      <w:sz w:val="56"/>
    </w:rPr>
  </w:style>
  <w:style w:type="paragraph" w:customStyle="1" w:styleId="3sectionheadings">
    <w:name w:val="3 section headings"/>
    <w:basedOn w:val="Normal"/>
    <w:qFormat/>
    <w:rsid w:val="004837B6"/>
    <w:pPr>
      <w:contextualSpacing/>
    </w:pPr>
    <w:rPr>
      <w:rFonts w:ascii="Arial" w:eastAsiaTheme="majorEastAsia" w:hAnsi="Arial" w:cstheme="majorBidi"/>
      <w:kern w:val="28"/>
      <w:sz w:val="22"/>
    </w:rPr>
  </w:style>
  <w:style w:type="paragraph" w:customStyle="1" w:styleId="4subheadings">
    <w:name w:val="4 subheadings"/>
    <w:basedOn w:val="Normal"/>
    <w:qFormat/>
    <w:rsid w:val="004837B6"/>
    <w:pPr>
      <w:contextualSpacing/>
    </w:pPr>
    <w:rPr>
      <w:rFonts w:ascii="Arial" w:eastAsiaTheme="majorEastAsia" w:hAnsi="Arial" w:cstheme="majorBidi"/>
      <w:kern w:val="28"/>
      <w:sz w:val="22"/>
    </w:rPr>
  </w:style>
  <w:style w:type="paragraph" w:customStyle="1" w:styleId="5captionsnotes">
    <w:name w:val="5 captions notes"/>
    <w:basedOn w:val="4subheadings"/>
    <w:qFormat/>
    <w:rsid w:val="004837B6"/>
    <w:rPr>
      <w:i/>
      <w:sz w:val="16"/>
    </w:rPr>
  </w:style>
  <w:style w:type="paragraph" w:customStyle="1" w:styleId="6quotations">
    <w:name w:val="6 quotations"/>
    <w:basedOn w:val="5captionsnotes"/>
    <w:qFormat/>
    <w:rsid w:val="004837B6"/>
    <w:rPr>
      <w:sz w:val="22"/>
    </w:rPr>
  </w:style>
  <w:style w:type="paragraph" w:customStyle="1" w:styleId="7tables">
    <w:name w:val="7 tables"/>
    <w:basedOn w:val="6quotations"/>
    <w:qFormat/>
    <w:rsid w:val="004837B6"/>
    <w:rPr>
      <w:sz w:val="20"/>
    </w:rPr>
  </w:style>
  <w:style w:type="paragraph" w:customStyle="1" w:styleId="8footnotes">
    <w:name w:val="8 footnotes"/>
    <w:basedOn w:val="7tables"/>
    <w:qFormat/>
    <w:rsid w:val="004837B6"/>
    <w:rPr>
      <w:sz w:val="18"/>
    </w:rPr>
  </w:style>
  <w:style w:type="paragraph" w:styleId="PargrafodaLista">
    <w:name w:val="List Paragraph"/>
    <w:basedOn w:val="Normal"/>
    <w:uiPriority w:val="34"/>
    <w:qFormat/>
    <w:rsid w:val="009B241D"/>
    <w:pPr>
      <w:ind w:left="720"/>
      <w:contextualSpacing/>
    </w:pPr>
  </w:style>
  <w:style w:type="table" w:styleId="Tabelacomgrade">
    <w:name w:val="Table Grid"/>
    <w:basedOn w:val="Tabelanormal"/>
    <w:uiPriority w:val="59"/>
    <w:rsid w:val="00161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95E22"/>
    <w:rPr>
      <w:sz w:val="16"/>
    </w:rPr>
  </w:style>
  <w:style w:type="paragraph" w:styleId="Textodecomentrio">
    <w:name w:val="annotation text"/>
    <w:basedOn w:val="Normal"/>
    <w:link w:val="TextodecomentrioChar"/>
    <w:uiPriority w:val="99"/>
    <w:unhideWhenUsed/>
    <w:rsid w:val="00795E22"/>
    <w:rPr>
      <w:sz w:val="20"/>
    </w:rPr>
  </w:style>
  <w:style w:type="character" w:customStyle="1" w:styleId="TextodecomentrioChar">
    <w:name w:val="Texto de comentário Char"/>
    <w:basedOn w:val="Fontepargpadro"/>
    <w:link w:val="Textodecomentrio"/>
    <w:uiPriority w:val="99"/>
    <w:rsid w:val="00795E22"/>
    <w:rPr>
      <w:sz w:val="20"/>
    </w:rPr>
  </w:style>
  <w:style w:type="paragraph" w:styleId="Assuntodocomentrio">
    <w:name w:val="annotation subject"/>
    <w:basedOn w:val="Textodecomentrio"/>
    <w:next w:val="Textodecomentrio"/>
    <w:link w:val="AssuntodocomentrioChar"/>
    <w:uiPriority w:val="99"/>
    <w:semiHidden/>
    <w:unhideWhenUsed/>
    <w:rsid w:val="00795E22"/>
    <w:rPr>
      <w:b/>
    </w:rPr>
  </w:style>
  <w:style w:type="character" w:customStyle="1" w:styleId="AssuntodocomentrioChar">
    <w:name w:val="Assunto do comentário Char"/>
    <w:basedOn w:val="TextodecomentrioChar"/>
    <w:link w:val="Assuntodocomentrio"/>
    <w:uiPriority w:val="99"/>
    <w:semiHidden/>
    <w:rsid w:val="00795E22"/>
    <w:rPr>
      <w:b/>
      <w:sz w:val="20"/>
    </w:rPr>
  </w:style>
  <w:style w:type="paragraph" w:styleId="Reviso">
    <w:name w:val="Revision"/>
    <w:hidden/>
    <w:uiPriority w:val="99"/>
    <w:semiHidden/>
    <w:rsid w:val="001C4DD4"/>
  </w:style>
  <w:style w:type="character" w:customStyle="1" w:styleId="Ttulo2Char">
    <w:name w:val="Título 2 Char"/>
    <w:basedOn w:val="Fontepargpadro"/>
    <w:link w:val="Ttulo2"/>
    <w:uiPriority w:val="9"/>
    <w:rsid w:val="00AF0DAB"/>
    <w:rPr>
      <w:rFonts w:ascii="Arial Black" w:eastAsiaTheme="majorEastAsia" w:hAnsi="Arial Black" w:cs="Arial"/>
      <w:b/>
      <w:sz w:val="22"/>
    </w:rPr>
  </w:style>
  <w:style w:type="paragraph" w:styleId="Textodenotaderodap">
    <w:name w:val="footnote text"/>
    <w:basedOn w:val="Normal"/>
    <w:link w:val="TextodenotaderodapChar"/>
    <w:semiHidden/>
    <w:rsid w:val="00153D56"/>
    <w:rPr>
      <w:rFonts w:ascii="Times New Roman" w:eastAsia="Times New Roman" w:hAnsi="Times New Roman" w:cs="Times New Roman"/>
      <w:sz w:val="20"/>
    </w:rPr>
  </w:style>
  <w:style w:type="character" w:customStyle="1" w:styleId="TextodenotaderodapChar">
    <w:name w:val="Texto de nota de rodapé Char"/>
    <w:basedOn w:val="Fontepargpadro"/>
    <w:link w:val="Textodenotaderodap"/>
    <w:semiHidden/>
    <w:rsid w:val="00153D56"/>
    <w:rPr>
      <w:rFonts w:ascii="Times New Roman" w:eastAsia="Times New Roman" w:hAnsi="Times New Roman" w:cs="Times New Roman"/>
      <w:sz w:val="20"/>
    </w:rPr>
  </w:style>
  <w:style w:type="character" w:styleId="Refdenotaderodap">
    <w:name w:val="footnote reference"/>
    <w:basedOn w:val="Fontepargpadro"/>
    <w:uiPriority w:val="99"/>
    <w:semiHidden/>
    <w:unhideWhenUsed/>
    <w:rsid w:val="00153D56"/>
    <w:rPr>
      <w:vertAlign w:val="superscript"/>
    </w:rPr>
  </w:style>
  <w:style w:type="paragraph" w:styleId="Legenda">
    <w:name w:val="caption"/>
    <w:basedOn w:val="Normal"/>
    <w:next w:val="Normal"/>
    <w:uiPriority w:val="35"/>
    <w:unhideWhenUsed/>
    <w:qFormat/>
    <w:rsid w:val="00462BDA"/>
    <w:pPr>
      <w:spacing w:after="200"/>
    </w:pPr>
    <w:rPr>
      <w:i/>
      <w:color w:val="1F497D" w:themeColor="text2"/>
      <w:sz w:val="18"/>
    </w:rPr>
  </w:style>
  <w:style w:type="character" w:customStyle="1" w:styleId="Ttulo1Char">
    <w:name w:val="Título 1 Char"/>
    <w:basedOn w:val="Fontepargpadro"/>
    <w:link w:val="Ttulo1"/>
    <w:uiPriority w:val="9"/>
    <w:rsid w:val="008645E3"/>
    <w:rPr>
      <w:rFonts w:ascii="Arial Black" w:eastAsiaTheme="majorEastAsia" w:hAnsi="Arial Black" w:cs="Arial"/>
      <w:b/>
      <w:color w:val="285C4D"/>
    </w:rPr>
  </w:style>
  <w:style w:type="paragraph" w:styleId="CabealhodoSumrio">
    <w:name w:val="TOC Heading"/>
    <w:basedOn w:val="Ttulo1"/>
    <w:next w:val="Normal"/>
    <w:uiPriority w:val="39"/>
    <w:unhideWhenUsed/>
    <w:qFormat/>
    <w:rsid w:val="008645E3"/>
    <w:pPr>
      <w:spacing w:after="0"/>
      <w:jc w:val="left"/>
      <w:outlineLvl w:val="9"/>
    </w:pPr>
    <w:rPr>
      <w:rFonts w:asciiTheme="majorHAnsi" w:hAnsiTheme="majorHAnsi" w:cstheme="majorBidi"/>
      <w:b w:val="0"/>
      <w:color w:val="365F91" w:themeColor="accent1" w:themeShade="BF"/>
      <w:sz w:val="32"/>
    </w:rPr>
  </w:style>
  <w:style w:type="paragraph" w:styleId="Sumrio1">
    <w:name w:val="toc 1"/>
    <w:basedOn w:val="Normal"/>
    <w:next w:val="Normal"/>
    <w:autoRedefine/>
    <w:uiPriority w:val="39"/>
    <w:unhideWhenUsed/>
    <w:rsid w:val="00343798"/>
    <w:pPr>
      <w:tabs>
        <w:tab w:val="right" w:leader="dot" w:pos="9672"/>
      </w:tabs>
      <w:spacing w:after="100"/>
    </w:pPr>
    <w:rPr>
      <w:rFonts w:ascii="Arial" w:hAnsi="Arial"/>
      <w:sz w:val="22"/>
    </w:rPr>
  </w:style>
  <w:style w:type="paragraph" w:styleId="Sumrio2">
    <w:name w:val="toc 2"/>
    <w:basedOn w:val="Normal"/>
    <w:next w:val="Normal"/>
    <w:autoRedefine/>
    <w:uiPriority w:val="39"/>
    <w:unhideWhenUsed/>
    <w:rsid w:val="008645E3"/>
    <w:pPr>
      <w:spacing w:after="100"/>
      <w:ind w:left="240"/>
    </w:pPr>
  </w:style>
  <w:style w:type="character" w:styleId="Hyperlink">
    <w:name w:val="Hyperlink"/>
    <w:basedOn w:val="Fontepargpadro"/>
    <w:uiPriority w:val="99"/>
    <w:unhideWhenUsed/>
    <w:rsid w:val="008645E3"/>
    <w:rPr>
      <w:color w:val="0000FF" w:themeColor="hyperlink"/>
      <w:u w:val="single"/>
    </w:rPr>
  </w:style>
  <w:style w:type="table" w:styleId="TabeladeGrade5Escura-nfase3">
    <w:name w:val="Grid Table 5 Dark Accent 3"/>
    <w:basedOn w:val="Tabelanormal"/>
    <w:uiPriority w:val="50"/>
    <w:rsid w:val="00E35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MenoPendente">
    <w:name w:val="Unresolved Mention"/>
    <w:basedOn w:val="Fontepargpadro"/>
    <w:uiPriority w:val="99"/>
    <w:rsid w:val="00B739CB"/>
    <w:rPr>
      <w:color w:val="605E5C"/>
      <w:shd w:val="clear" w:color="auto" w:fill="E1DFDD"/>
    </w:rPr>
  </w:style>
  <w:style w:type="character" w:styleId="HiperlinkVisitado">
    <w:name w:val="FollowedHyperlink"/>
    <w:basedOn w:val="Fontepargpadro"/>
    <w:uiPriority w:val="99"/>
    <w:semiHidden/>
    <w:unhideWhenUsed/>
    <w:rsid w:val="00B739CB"/>
    <w:rPr>
      <w:color w:val="800080" w:themeColor="followedHyperlink"/>
      <w:u w:val="single"/>
    </w:rPr>
  </w:style>
  <w:style w:type="paragraph" w:styleId="NormalWeb">
    <w:name w:val="Normal (Web)"/>
    <w:basedOn w:val="Normal"/>
    <w:uiPriority w:val="99"/>
    <w:semiHidden/>
    <w:unhideWhenUsed/>
    <w:rsid w:val="005B2840"/>
    <w:pPr>
      <w:spacing w:before="100" w:beforeAutospacing="1" w:after="100" w:afterAutospacing="1"/>
    </w:pPr>
    <w:rPr>
      <w:rFonts w:ascii="Times New Roman" w:eastAsia="Times New Roman" w:hAnsi="Times New Roman" w:cs="Times New Roman"/>
    </w:rPr>
  </w:style>
  <w:style w:type="paragraph" w:customStyle="1" w:styleId="Default">
    <w:name w:val="Default"/>
    <w:rsid w:val="00802920"/>
    <w:pPr>
      <w:autoSpaceDE w:val="0"/>
      <w:autoSpaceDN w:val="0"/>
      <w:adjustRightInd w:val="0"/>
    </w:pPr>
    <w:rPr>
      <w:rFonts w:ascii="Arial" w:hAnsi="Arial" w:cs="Arial"/>
      <w:color w:val="000000"/>
    </w:rPr>
  </w:style>
  <w:style w:type="character" w:customStyle="1" w:styleId="fontstyle01">
    <w:name w:val="fontstyle01"/>
    <w:basedOn w:val="Fontepargpadro"/>
    <w:rsid w:val="00CF0206"/>
    <w:rPr>
      <w:rFonts w:ascii="ArialMT" w:hAnsi="ArialMT" w:hint="default"/>
      <w:b w:val="0"/>
      <w:i w:val="0"/>
      <w:color w:val="000000"/>
      <w:sz w:val="22"/>
    </w:rPr>
  </w:style>
  <w:style w:type="character" w:customStyle="1" w:styleId="highlight">
    <w:name w:val="highlight"/>
    <w:basedOn w:val="Fontepargpadro"/>
    <w:rsid w:val="006113C9"/>
  </w:style>
  <w:style w:type="character" w:styleId="nfase">
    <w:name w:val="Emphasis"/>
    <w:basedOn w:val="Fontepargpadro"/>
    <w:uiPriority w:val="20"/>
    <w:qFormat/>
    <w:rsid w:val="00D405B5"/>
    <w:rPr>
      <w:i/>
    </w:rPr>
  </w:style>
  <w:style w:type="paragraph" w:styleId="Commarcadores">
    <w:name w:val="List Bullet"/>
    <w:basedOn w:val="Normal"/>
    <w:uiPriority w:val="99"/>
    <w:unhideWhenUsed/>
    <w:rsid w:val="0058415B"/>
    <w:pPr>
      <w:numPr>
        <w:numId w:val="36"/>
      </w:numPr>
      <w:contextualSpacing/>
    </w:pPr>
  </w:style>
  <w:style w:type="paragraph" w:customStyle="1" w:styleId="Indicator">
    <w:name w:val="Indicator"/>
    <w:basedOn w:val="PargrafodaLista"/>
    <w:qFormat/>
    <w:rsid w:val="00A742EB"/>
    <w:pPr>
      <w:numPr>
        <w:ilvl w:val="1"/>
        <w:numId w:val="2"/>
      </w:numPr>
      <w:tabs>
        <w:tab w:val="left" w:pos="6804"/>
      </w:tabs>
      <w:spacing w:before="120" w:after="120"/>
      <w:contextualSpacing w:val="0"/>
      <w:jc w:val="both"/>
    </w:pPr>
    <w:rPr>
      <w:rFonts w:ascii="Arial" w:hAnsi="Arial" w:cs="Arial"/>
      <w:sz w:val="22"/>
    </w:rPr>
  </w:style>
  <w:style w:type="paragraph" w:customStyle="1" w:styleId="P68B1DB1-Normal1">
    <w:name w:val="P68B1DB1-Normal1"/>
    <w:basedOn w:val="Normal"/>
    <w:rPr>
      <w:rFonts w:ascii="Arial" w:hAnsi="Arial" w:cs="Arial"/>
    </w:rPr>
  </w:style>
  <w:style w:type="paragraph" w:customStyle="1" w:styleId="P68B1DB1-Normal2">
    <w:name w:val="P68B1DB1-Normal2"/>
    <w:basedOn w:val="Normal"/>
    <w:rPr>
      <w:rFonts w:ascii="Arial Black" w:hAnsi="Arial Black" w:cs="Arial"/>
      <w:b/>
      <w:color w:val="000000" w:themeColor="text1"/>
      <w:sz w:val="52"/>
    </w:rPr>
  </w:style>
  <w:style w:type="paragraph" w:customStyle="1" w:styleId="P68B1DB1-Normal3">
    <w:name w:val="P68B1DB1-Normal3"/>
    <w:basedOn w:val="Normal"/>
    <w:rPr>
      <w:rFonts w:ascii="Arial" w:hAnsi="Arial" w:cs="Arial"/>
      <w:color w:val="000000" w:themeColor="text1"/>
      <w:sz w:val="40"/>
    </w:rPr>
  </w:style>
  <w:style w:type="paragraph" w:customStyle="1" w:styleId="P68B1DB1-Normal4">
    <w:name w:val="P68B1DB1-Normal4"/>
    <w:basedOn w:val="Normal"/>
    <w:rPr>
      <w:rFonts w:ascii="Arial" w:hAnsi="Arial" w:cs="Arial"/>
      <w:b/>
      <w:color w:val="FF0000"/>
      <w:sz w:val="40"/>
    </w:rPr>
  </w:style>
  <w:style w:type="paragraph" w:customStyle="1" w:styleId="P68B1DB1-Normal5">
    <w:name w:val="P68B1DB1-Normal5"/>
    <w:basedOn w:val="Normal"/>
    <w:rPr>
      <w:rFonts w:ascii="Arial" w:hAnsi="Arial" w:cs="Arial"/>
      <w:b/>
      <w:sz w:val="22"/>
    </w:rPr>
  </w:style>
  <w:style w:type="paragraph" w:customStyle="1" w:styleId="P68B1DB1-Normal6">
    <w:name w:val="P68B1DB1-Normal6"/>
    <w:basedOn w:val="Normal"/>
    <w:rPr>
      <w:rFonts w:ascii="Arial" w:hAnsi="Arial" w:cs="Arial"/>
      <w:sz w:val="22"/>
    </w:rPr>
  </w:style>
  <w:style w:type="paragraph" w:customStyle="1" w:styleId="P68B1DB1-Normal7">
    <w:name w:val="P68B1DB1-Normal7"/>
    <w:basedOn w:val="Normal"/>
    <w:rPr>
      <w:rFonts w:ascii="Arial" w:eastAsia="Times New Roman" w:hAnsi="Arial" w:cs="Arial"/>
      <w:sz w:val="22"/>
    </w:rPr>
  </w:style>
  <w:style w:type="paragraph" w:customStyle="1" w:styleId="P68B1DB1-Normal8">
    <w:name w:val="P68B1DB1-Normal8"/>
    <w:basedOn w:val="Normal"/>
    <w:rPr>
      <w:rFonts w:ascii="Arial" w:hAnsi="Arial" w:cs="Arial"/>
      <w:i/>
      <w:sz w:val="22"/>
    </w:rPr>
  </w:style>
  <w:style w:type="paragraph" w:customStyle="1" w:styleId="P68B1DB1-TtuloTDC9">
    <w:name w:val="P68B1DB1-TtuloTDC9"/>
    <w:basedOn w:val="CabealhodoSumrio"/>
    <w:rPr>
      <w:b/>
      <w:color w:val="285C4D"/>
    </w:rPr>
  </w:style>
  <w:style w:type="paragraph" w:customStyle="1" w:styleId="P68B1DB1-TDC110">
    <w:name w:val="P68B1DB1-TDC110"/>
    <w:basedOn w:val="Sumrio1"/>
    <w:rPr>
      <w:rFonts w:cs="Arial"/>
    </w:rPr>
  </w:style>
  <w:style w:type="paragraph" w:customStyle="1" w:styleId="P68B1DB1-Prrafodelista11">
    <w:name w:val="P68B1DB1-Prrafodelista11"/>
    <w:basedOn w:val="PargrafodaLista"/>
    <w:rPr>
      <w:rFonts w:ascii="Arial" w:hAnsi="Arial" w:cs="Arial"/>
      <w:sz w:val="22"/>
    </w:rPr>
  </w:style>
  <w:style w:type="paragraph" w:customStyle="1" w:styleId="P68B1DB1-Normal12">
    <w:name w:val="P68B1DB1-Normal12"/>
    <w:basedOn w:val="Normal"/>
    <w:rPr>
      <w:rFonts w:ascii="Arial" w:hAnsi="Arial" w:cs="Arial"/>
      <w:i/>
      <w:color w:val="000000"/>
      <w:sz w:val="22"/>
    </w:rPr>
  </w:style>
  <w:style w:type="paragraph" w:customStyle="1" w:styleId="P68B1DB1-Normal13">
    <w:name w:val="P68B1DB1-Normal13"/>
    <w:basedOn w:val="Normal"/>
    <w:rPr>
      <w:sz w:val="22"/>
    </w:rPr>
  </w:style>
  <w:style w:type="paragraph" w:customStyle="1" w:styleId="P68B1DB1-Default14">
    <w:name w:val="P68B1DB1-Default14"/>
    <w:basedOn w:val="Default"/>
    <w:rPr>
      <w:sz w:val="22"/>
    </w:rPr>
  </w:style>
  <w:style w:type="paragraph" w:customStyle="1" w:styleId="P68B1DB1-Normal15">
    <w:name w:val="P68B1DB1-Normal15"/>
    <w:basedOn w:val="Normal"/>
    <w:rPr>
      <w:rFonts w:ascii="Arial Black" w:hAnsi="Arial Black" w:cs="Arial"/>
      <w:b/>
      <w:color w:val="285C4D"/>
      <w:sz w:val="20"/>
    </w:rPr>
  </w:style>
  <w:style w:type="paragraph" w:customStyle="1" w:styleId="P68B1DB1-Normal16">
    <w:name w:val="P68B1DB1-Normal16"/>
    <w:basedOn w:val="Normal"/>
    <w:rPr>
      <w:rFonts w:ascii="Arial" w:hAnsi="Arial" w:cs="Arial"/>
      <w:sz w:val="20"/>
    </w:rPr>
  </w:style>
  <w:style w:type="paragraph" w:customStyle="1" w:styleId="P68B1DB1-Normal17">
    <w:name w:val="P68B1DB1-Normal17"/>
    <w:basedOn w:val="Normal"/>
    <w:rPr>
      <w:color w:val="000000"/>
      <w:sz w:val="22"/>
    </w:rPr>
  </w:style>
  <w:style w:type="paragraph" w:customStyle="1" w:styleId="P68B1DB1-Normal18">
    <w:name w:val="P68B1DB1-Normal18"/>
    <w:basedOn w:val="Normal"/>
    <w:rPr>
      <w:rFonts w:ascii="Arial" w:hAnsi="Arial" w:cs="Arial"/>
      <w:color w:val="000000"/>
      <w:sz w:val="22"/>
    </w:rPr>
  </w:style>
  <w:style w:type="paragraph" w:customStyle="1" w:styleId="P68B1DB1-Normal19">
    <w:name w:val="P68B1DB1-Normal19"/>
    <w:basedOn w:val="Normal"/>
    <w:rPr>
      <w:rFonts w:ascii="Arial" w:hAnsi="Arial" w:cs="Arial"/>
      <w:color w:val="000000"/>
    </w:rPr>
  </w:style>
  <w:style w:type="paragraph" w:customStyle="1" w:styleId="P68B1DB1-Normal20">
    <w:name w:val="P68B1DB1-Normal20"/>
    <w:basedOn w:val="Normal"/>
    <w:rPr>
      <w:rFonts w:ascii="Arial Black" w:hAnsi="Arial Black" w:cs="Arial"/>
      <w:b/>
      <w:color w:val="000000"/>
      <w:sz w:val="22"/>
    </w:rPr>
  </w:style>
  <w:style w:type="paragraph" w:customStyle="1" w:styleId="P68B1DB1-Prrafodelista21">
    <w:name w:val="P68B1DB1-Prrafodelista21"/>
    <w:basedOn w:val="PargrafodaLista"/>
    <w:rPr>
      <w:rFonts w:ascii="Arial" w:hAnsi="Arial" w:cs="Arial"/>
      <w:color w:val="000000"/>
      <w:sz w:val="22"/>
    </w:rPr>
  </w:style>
  <w:style w:type="paragraph" w:customStyle="1" w:styleId="P68B1DB1-Normal22">
    <w:name w:val="P68B1DB1-Normal22"/>
    <w:basedOn w:val="Normal"/>
    <w:rPr>
      <w:rFonts w:ascii="Arial-ItalicMT" w:hAnsi="Arial-ItalicMT" w:cs="Arial-ItalicMT"/>
      <w:i/>
      <w:sz w:val="18"/>
    </w:rPr>
  </w:style>
  <w:style w:type="paragraph" w:customStyle="1" w:styleId="P68B1DB1-Normal23">
    <w:name w:val="P68B1DB1-Normal23"/>
    <w:basedOn w:val="Normal"/>
    <w:rPr>
      <w:rFonts w:ascii="Arial" w:eastAsia="Times New Roman" w:hAnsi="Arial" w:cs="Arial"/>
      <w:b/>
      <w:color w:val="000000"/>
      <w:sz w:val="20"/>
    </w:rPr>
  </w:style>
  <w:style w:type="paragraph" w:customStyle="1" w:styleId="P68B1DB1-Normal24">
    <w:name w:val="P68B1DB1-Normal24"/>
    <w:basedOn w:val="Normal"/>
    <w:rPr>
      <w:rFonts w:ascii="Arial" w:eastAsia="Times New Roman" w:hAnsi="Arial" w:cs="Arial"/>
      <w:b/>
      <w:color w:val="FFFFFF"/>
      <w:sz w:val="20"/>
    </w:rPr>
  </w:style>
  <w:style w:type="paragraph" w:customStyle="1" w:styleId="P68B1DB1-Normal25">
    <w:name w:val="P68B1DB1-Normal25"/>
    <w:basedOn w:val="Normal"/>
    <w:rPr>
      <w:rFonts w:ascii="Arial" w:eastAsia="Times New Roman" w:hAnsi="Arial" w:cs="Arial"/>
      <w:color w:val="000000"/>
      <w:sz w:val="20"/>
    </w:rPr>
  </w:style>
  <w:style w:type="paragraph" w:customStyle="1" w:styleId="P68B1DB1-Normal26">
    <w:name w:val="P68B1DB1-Normal26"/>
    <w:basedOn w:val="Normal"/>
    <w:rPr>
      <w:rFonts w:ascii="Cambria" w:eastAsia="Times New Roman" w:hAnsi="Cambria" w:cs="Calibri"/>
      <w:color w:val="000000"/>
      <w:sz w:val="20"/>
    </w:rPr>
  </w:style>
  <w:style w:type="paragraph" w:customStyle="1" w:styleId="P68B1DB1-Prrafodelista27">
    <w:name w:val="P68B1DB1-Prrafodelista27"/>
    <w:basedOn w:val="PargrafodaLista"/>
    <w:rPr>
      <w:sz w:val="22"/>
    </w:rPr>
  </w:style>
  <w:style w:type="paragraph" w:customStyle="1" w:styleId="P68B1DB1-Normal28">
    <w:name w:val="P68B1DB1-Normal28"/>
    <w:basedOn w:val="Normal"/>
    <w:rPr>
      <w:rFonts w:ascii="Arial Black" w:hAnsi="Arial Black" w:cs="Arial"/>
      <w:color w:val="285C4D"/>
    </w:rPr>
  </w:style>
  <w:style w:type="paragraph" w:customStyle="1" w:styleId="P68B1DB1-Normal29">
    <w:name w:val="P68B1DB1-Normal29"/>
    <w:basedOn w:val="Normal"/>
    <w:rPr>
      <w:rFonts w:ascii="Arial" w:eastAsiaTheme="majorEastAsia" w:hAnsi="Arial" w:cs="Arial"/>
    </w:rPr>
  </w:style>
  <w:style w:type="paragraph" w:customStyle="1" w:styleId="P68B1DB1-Normal30">
    <w:name w:val="P68B1DB1-Normal30"/>
    <w:basedOn w:val="Normal"/>
    <w:rPr>
      <w:rFonts w:ascii="Arial" w:eastAsiaTheme="majorEastAsia" w:hAnsi="Arial" w:cs="Arial"/>
      <w:sz w:val="20"/>
    </w:rPr>
  </w:style>
  <w:style w:type="paragraph" w:customStyle="1" w:styleId="P68B1DB1-Normal31">
    <w:name w:val="P68B1DB1-Normal31"/>
    <w:basedOn w:val="Normal"/>
    <w:rPr>
      <w:rFonts w:ascii="Arial" w:hAnsi="Arial" w:cs="Arial"/>
      <w:b/>
      <w:sz w:val="20"/>
    </w:rPr>
  </w:style>
  <w:style w:type="paragraph" w:customStyle="1" w:styleId="P68B1DB1-Normal32">
    <w:name w:val="P68B1DB1-Normal32"/>
    <w:basedOn w:val="Normal"/>
    <w:rPr>
      <w:rFonts w:ascii="Arial" w:hAnsi="Arial" w:cs="Arial"/>
      <w:color w:val="224F34"/>
      <w:sz w:val="14"/>
    </w:rPr>
  </w:style>
  <w:style w:type="paragraph" w:customStyle="1" w:styleId="P68B1DB1-Normal33">
    <w:name w:val="P68B1DB1-Normal33"/>
    <w:basedOn w:val="Normal"/>
    <w:rPr>
      <w:sz w:val="18"/>
    </w:rPr>
  </w:style>
  <w:style w:type="paragraph" w:customStyle="1" w:styleId="P68B1DB1-Piedepgina34">
    <w:name w:val="P68B1DB1-Piedepgina34"/>
    <w:basedOn w:val="Rodap"/>
    <w:rPr>
      <w:rFonts w:ascii="Arial" w:hAnsi="Arial" w:cs="Arial"/>
      <w:caps/>
      <w:sz w:val="18"/>
    </w:rPr>
  </w:style>
  <w:style w:type="paragraph" w:customStyle="1" w:styleId="P68B1DB1-Piedepgina35">
    <w:name w:val="P68B1DB1-Piedepgina35"/>
    <w:basedOn w:val="Rodap"/>
    <w:rPr>
      <w:rFonts w:ascii="Arial" w:hAnsi="Arial"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4219">
      <w:bodyDiv w:val="1"/>
      <w:marLeft w:val="0"/>
      <w:marRight w:val="0"/>
      <w:marTop w:val="0"/>
      <w:marBottom w:val="0"/>
      <w:divBdr>
        <w:top w:val="none" w:sz="0" w:space="0" w:color="auto"/>
        <w:left w:val="none" w:sz="0" w:space="0" w:color="auto"/>
        <w:bottom w:val="none" w:sz="0" w:space="0" w:color="auto"/>
        <w:right w:val="none" w:sz="0" w:space="0" w:color="auto"/>
      </w:divBdr>
    </w:div>
    <w:div w:id="39716041">
      <w:bodyDiv w:val="1"/>
      <w:marLeft w:val="0"/>
      <w:marRight w:val="0"/>
      <w:marTop w:val="0"/>
      <w:marBottom w:val="0"/>
      <w:divBdr>
        <w:top w:val="none" w:sz="0" w:space="0" w:color="auto"/>
        <w:left w:val="none" w:sz="0" w:space="0" w:color="auto"/>
        <w:bottom w:val="none" w:sz="0" w:space="0" w:color="auto"/>
        <w:right w:val="none" w:sz="0" w:space="0" w:color="auto"/>
      </w:divBdr>
    </w:div>
    <w:div w:id="70200685">
      <w:bodyDiv w:val="1"/>
      <w:marLeft w:val="0"/>
      <w:marRight w:val="0"/>
      <w:marTop w:val="0"/>
      <w:marBottom w:val="0"/>
      <w:divBdr>
        <w:top w:val="none" w:sz="0" w:space="0" w:color="auto"/>
        <w:left w:val="none" w:sz="0" w:space="0" w:color="auto"/>
        <w:bottom w:val="none" w:sz="0" w:space="0" w:color="auto"/>
        <w:right w:val="none" w:sz="0" w:space="0" w:color="auto"/>
      </w:divBdr>
    </w:div>
    <w:div w:id="107970221">
      <w:bodyDiv w:val="1"/>
      <w:marLeft w:val="0"/>
      <w:marRight w:val="0"/>
      <w:marTop w:val="0"/>
      <w:marBottom w:val="0"/>
      <w:divBdr>
        <w:top w:val="none" w:sz="0" w:space="0" w:color="auto"/>
        <w:left w:val="none" w:sz="0" w:space="0" w:color="auto"/>
        <w:bottom w:val="none" w:sz="0" w:space="0" w:color="auto"/>
        <w:right w:val="none" w:sz="0" w:space="0" w:color="auto"/>
      </w:divBdr>
      <w:divsChild>
        <w:div w:id="396055">
          <w:marLeft w:val="547"/>
          <w:marRight w:val="0"/>
          <w:marTop w:val="0"/>
          <w:marBottom w:val="120"/>
          <w:divBdr>
            <w:top w:val="none" w:sz="0" w:space="0" w:color="auto"/>
            <w:left w:val="none" w:sz="0" w:space="0" w:color="auto"/>
            <w:bottom w:val="none" w:sz="0" w:space="0" w:color="auto"/>
            <w:right w:val="none" w:sz="0" w:space="0" w:color="auto"/>
          </w:divBdr>
        </w:div>
        <w:div w:id="25373643">
          <w:marLeft w:val="547"/>
          <w:marRight w:val="0"/>
          <w:marTop w:val="0"/>
          <w:marBottom w:val="120"/>
          <w:divBdr>
            <w:top w:val="none" w:sz="0" w:space="0" w:color="auto"/>
            <w:left w:val="none" w:sz="0" w:space="0" w:color="auto"/>
            <w:bottom w:val="none" w:sz="0" w:space="0" w:color="auto"/>
            <w:right w:val="none" w:sz="0" w:space="0" w:color="auto"/>
          </w:divBdr>
        </w:div>
        <w:div w:id="141820082">
          <w:marLeft w:val="547"/>
          <w:marRight w:val="0"/>
          <w:marTop w:val="0"/>
          <w:marBottom w:val="120"/>
          <w:divBdr>
            <w:top w:val="none" w:sz="0" w:space="0" w:color="auto"/>
            <w:left w:val="none" w:sz="0" w:space="0" w:color="auto"/>
            <w:bottom w:val="none" w:sz="0" w:space="0" w:color="auto"/>
            <w:right w:val="none" w:sz="0" w:space="0" w:color="auto"/>
          </w:divBdr>
        </w:div>
        <w:div w:id="158738578">
          <w:marLeft w:val="547"/>
          <w:marRight w:val="0"/>
          <w:marTop w:val="0"/>
          <w:marBottom w:val="120"/>
          <w:divBdr>
            <w:top w:val="none" w:sz="0" w:space="0" w:color="auto"/>
            <w:left w:val="none" w:sz="0" w:space="0" w:color="auto"/>
            <w:bottom w:val="none" w:sz="0" w:space="0" w:color="auto"/>
            <w:right w:val="none" w:sz="0" w:space="0" w:color="auto"/>
          </w:divBdr>
        </w:div>
        <w:div w:id="275186014">
          <w:marLeft w:val="547"/>
          <w:marRight w:val="0"/>
          <w:marTop w:val="0"/>
          <w:marBottom w:val="120"/>
          <w:divBdr>
            <w:top w:val="none" w:sz="0" w:space="0" w:color="auto"/>
            <w:left w:val="none" w:sz="0" w:space="0" w:color="auto"/>
            <w:bottom w:val="none" w:sz="0" w:space="0" w:color="auto"/>
            <w:right w:val="none" w:sz="0" w:space="0" w:color="auto"/>
          </w:divBdr>
        </w:div>
        <w:div w:id="1086269837">
          <w:marLeft w:val="547"/>
          <w:marRight w:val="0"/>
          <w:marTop w:val="0"/>
          <w:marBottom w:val="120"/>
          <w:divBdr>
            <w:top w:val="none" w:sz="0" w:space="0" w:color="auto"/>
            <w:left w:val="none" w:sz="0" w:space="0" w:color="auto"/>
            <w:bottom w:val="none" w:sz="0" w:space="0" w:color="auto"/>
            <w:right w:val="none" w:sz="0" w:space="0" w:color="auto"/>
          </w:divBdr>
        </w:div>
        <w:div w:id="1094396093">
          <w:marLeft w:val="547"/>
          <w:marRight w:val="0"/>
          <w:marTop w:val="0"/>
          <w:marBottom w:val="120"/>
          <w:divBdr>
            <w:top w:val="none" w:sz="0" w:space="0" w:color="auto"/>
            <w:left w:val="none" w:sz="0" w:space="0" w:color="auto"/>
            <w:bottom w:val="none" w:sz="0" w:space="0" w:color="auto"/>
            <w:right w:val="none" w:sz="0" w:space="0" w:color="auto"/>
          </w:divBdr>
        </w:div>
        <w:div w:id="1293247429">
          <w:marLeft w:val="547"/>
          <w:marRight w:val="0"/>
          <w:marTop w:val="0"/>
          <w:marBottom w:val="120"/>
          <w:divBdr>
            <w:top w:val="none" w:sz="0" w:space="0" w:color="auto"/>
            <w:left w:val="none" w:sz="0" w:space="0" w:color="auto"/>
            <w:bottom w:val="none" w:sz="0" w:space="0" w:color="auto"/>
            <w:right w:val="none" w:sz="0" w:space="0" w:color="auto"/>
          </w:divBdr>
        </w:div>
        <w:div w:id="1332375096">
          <w:marLeft w:val="547"/>
          <w:marRight w:val="0"/>
          <w:marTop w:val="0"/>
          <w:marBottom w:val="120"/>
          <w:divBdr>
            <w:top w:val="none" w:sz="0" w:space="0" w:color="auto"/>
            <w:left w:val="none" w:sz="0" w:space="0" w:color="auto"/>
            <w:bottom w:val="none" w:sz="0" w:space="0" w:color="auto"/>
            <w:right w:val="none" w:sz="0" w:space="0" w:color="auto"/>
          </w:divBdr>
        </w:div>
        <w:div w:id="1352099709">
          <w:marLeft w:val="547"/>
          <w:marRight w:val="0"/>
          <w:marTop w:val="0"/>
          <w:marBottom w:val="120"/>
          <w:divBdr>
            <w:top w:val="none" w:sz="0" w:space="0" w:color="auto"/>
            <w:left w:val="none" w:sz="0" w:space="0" w:color="auto"/>
            <w:bottom w:val="none" w:sz="0" w:space="0" w:color="auto"/>
            <w:right w:val="none" w:sz="0" w:space="0" w:color="auto"/>
          </w:divBdr>
        </w:div>
        <w:div w:id="1729959335">
          <w:marLeft w:val="547"/>
          <w:marRight w:val="0"/>
          <w:marTop w:val="0"/>
          <w:marBottom w:val="120"/>
          <w:divBdr>
            <w:top w:val="none" w:sz="0" w:space="0" w:color="auto"/>
            <w:left w:val="none" w:sz="0" w:space="0" w:color="auto"/>
            <w:bottom w:val="none" w:sz="0" w:space="0" w:color="auto"/>
            <w:right w:val="none" w:sz="0" w:space="0" w:color="auto"/>
          </w:divBdr>
        </w:div>
        <w:div w:id="2056657801">
          <w:marLeft w:val="547"/>
          <w:marRight w:val="0"/>
          <w:marTop w:val="0"/>
          <w:marBottom w:val="120"/>
          <w:divBdr>
            <w:top w:val="none" w:sz="0" w:space="0" w:color="auto"/>
            <w:left w:val="none" w:sz="0" w:space="0" w:color="auto"/>
            <w:bottom w:val="none" w:sz="0" w:space="0" w:color="auto"/>
            <w:right w:val="none" w:sz="0" w:space="0" w:color="auto"/>
          </w:divBdr>
        </w:div>
      </w:divsChild>
    </w:div>
    <w:div w:id="155346853">
      <w:bodyDiv w:val="1"/>
      <w:marLeft w:val="0"/>
      <w:marRight w:val="0"/>
      <w:marTop w:val="0"/>
      <w:marBottom w:val="0"/>
      <w:divBdr>
        <w:top w:val="none" w:sz="0" w:space="0" w:color="auto"/>
        <w:left w:val="none" w:sz="0" w:space="0" w:color="auto"/>
        <w:bottom w:val="none" w:sz="0" w:space="0" w:color="auto"/>
        <w:right w:val="none" w:sz="0" w:space="0" w:color="auto"/>
      </w:divBdr>
    </w:div>
    <w:div w:id="259336312">
      <w:bodyDiv w:val="1"/>
      <w:marLeft w:val="0"/>
      <w:marRight w:val="0"/>
      <w:marTop w:val="0"/>
      <w:marBottom w:val="0"/>
      <w:divBdr>
        <w:top w:val="none" w:sz="0" w:space="0" w:color="auto"/>
        <w:left w:val="none" w:sz="0" w:space="0" w:color="auto"/>
        <w:bottom w:val="none" w:sz="0" w:space="0" w:color="auto"/>
        <w:right w:val="none" w:sz="0" w:space="0" w:color="auto"/>
      </w:divBdr>
    </w:div>
    <w:div w:id="315303226">
      <w:bodyDiv w:val="1"/>
      <w:marLeft w:val="0"/>
      <w:marRight w:val="0"/>
      <w:marTop w:val="0"/>
      <w:marBottom w:val="0"/>
      <w:divBdr>
        <w:top w:val="none" w:sz="0" w:space="0" w:color="auto"/>
        <w:left w:val="none" w:sz="0" w:space="0" w:color="auto"/>
        <w:bottom w:val="none" w:sz="0" w:space="0" w:color="auto"/>
        <w:right w:val="none" w:sz="0" w:space="0" w:color="auto"/>
      </w:divBdr>
    </w:div>
    <w:div w:id="411396503">
      <w:bodyDiv w:val="1"/>
      <w:marLeft w:val="0"/>
      <w:marRight w:val="0"/>
      <w:marTop w:val="0"/>
      <w:marBottom w:val="0"/>
      <w:divBdr>
        <w:top w:val="none" w:sz="0" w:space="0" w:color="auto"/>
        <w:left w:val="none" w:sz="0" w:space="0" w:color="auto"/>
        <w:bottom w:val="none" w:sz="0" w:space="0" w:color="auto"/>
        <w:right w:val="none" w:sz="0" w:space="0" w:color="auto"/>
      </w:divBdr>
    </w:div>
    <w:div w:id="450899625">
      <w:bodyDiv w:val="1"/>
      <w:marLeft w:val="0"/>
      <w:marRight w:val="0"/>
      <w:marTop w:val="0"/>
      <w:marBottom w:val="0"/>
      <w:divBdr>
        <w:top w:val="none" w:sz="0" w:space="0" w:color="auto"/>
        <w:left w:val="none" w:sz="0" w:space="0" w:color="auto"/>
        <w:bottom w:val="none" w:sz="0" w:space="0" w:color="auto"/>
        <w:right w:val="none" w:sz="0" w:space="0" w:color="auto"/>
      </w:divBdr>
    </w:div>
    <w:div w:id="457113839">
      <w:bodyDiv w:val="1"/>
      <w:marLeft w:val="0"/>
      <w:marRight w:val="0"/>
      <w:marTop w:val="0"/>
      <w:marBottom w:val="0"/>
      <w:divBdr>
        <w:top w:val="none" w:sz="0" w:space="0" w:color="auto"/>
        <w:left w:val="none" w:sz="0" w:space="0" w:color="auto"/>
        <w:bottom w:val="none" w:sz="0" w:space="0" w:color="auto"/>
        <w:right w:val="none" w:sz="0" w:space="0" w:color="auto"/>
      </w:divBdr>
    </w:div>
    <w:div w:id="574172059">
      <w:bodyDiv w:val="1"/>
      <w:marLeft w:val="0"/>
      <w:marRight w:val="0"/>
      <w:marTop w:val="0"/>
      <w:marBottom w:val="0"/>
      <w:divBdr>
        <w:top w:val="none" w:sz="0" w:space="0" w:color="auto"/>
        <w:left w:val="none" w:sz="0" w:space="0" w:color="auto"/>
        <w:bottom w:val="none" w:sz="0" w:space="0" w:color="auto"/>
        <w:right w:val="none" w:sz="0" w:space="0" w:color="auto"/>
      </w:divBdr>
    </w:div>
    <w:div w:id="715468657">
      <w:bodyDiv w:val="1"/>
      <w:marLeft w:val="0"/>
      <w:marRight w:val="0"/>
      <w:marTop w:val="0"/>
      <w:marBottom w:val="0"/>
      <w:divBdr>
        <w:top w:val="none" w:sz="0" w:space="0" w:color="auto"/>
        <w:left w:val="none" w:sz="0" w:space="0" w:color="auto"/>
        <w:bottom w:val="none" w:sz="0" w:space="0" w:color="auto"/>
        <w:right w:val="none" w:sz="0" w:space="0" w:color="auto"/>
      </w:divBdr>
    </w:div>
    <w:div w:id="720514669">
      <w:bodyDiv w:val="1"/>
      <w:marLeft w:val="0"/>
      <w:marRight w:val="0"/>
      <w:marTop w:val="0"/>
      <w:marBottom w:val="0"/>
      <w:divBdr>
        <w:top w:val="none" w:sz="0" w:space="0" w:color="auto"/>
        <w:left w:val="none" w:sz="0" w:space="0" w:color="auto"/>
        <w:bottom w:val="none" w:sz="0" w:space="0" w:color="auto"/>
        <w:right w:val="none" w:sz="0" w:space="0" w:color="auto"/>
      </w:divBdr>
    </w:div>
    <w:div w:id="752362480">
      <w:bodyDiv w:val="1"/>
      <w:marLeft w:val="0"/>
      <w:marRight w:val="0"/>
      <w:marTop w:val="0"/>
      <w:marBottom w:val="0"/>
      <w:divBdr>
        <w:top w:val="none" w:sz="0" w:space="0" w:color="auto"/>
        <w:left w:val="none" w:sz="0" w:space="0" w:color="auto"/>
        <w:bottom w:val="none" w:sz="0" w:space="0" w:color="auto"/>
        <w:right w:val="none" w:sz="0" w:space="0" w:color="auto"/>
      </w:divBdr>
      <w:divsChild>
        <w:div w:id="175779457">
          <w:marLeft w:val="547"/>
          <w:marRight w:val="0"/>
          <w:marTop w:val="0"/>
          <w:marBottom w:val="120"/>
          <w:divBdr>
            <w:top w:val="none" w:sz="0" w:space="0" w:color="auto"/>
            <w:left w:val="none" w:sz="0" w:space="0" w:color="auto"/>
            <w:bottom w:val="none" w:sz="0" w:space="0" w:color="auto"/>
            <w:right w:val="none" w:sz="0" w:space="0" w:color="auto"/>
          </w:divBdr>
        </w:div>
        <w:div w:id="361437760">
          <w:marLeft w:val="547"/>
          <w:marRight w:val="0"/>
          <w:marTop w:val="0"/>
          <w:marBottom w:val="120"/>
          <w:divBdr>
            <w:top w:val="none" w:sz="0" w:space="0" w:color="auto"/>
            <w:left w:val="none" w:sz="0" w:space="0" w:color="auto"/>
            <w:bottom w:val="none" w:sz="0" w:space="0" w:color="auto"/>
            <w:right w:val="none" w:sz="0" w:space="0" w:color="auto"/>
          </w:divBdr>
        </w:div>
        <w:div w:id="390544768">
          <w:marLeft w:val="547"/>
          <w:marRight w:val="0"/>
          <w:marTop w:val="0"/>
          <w:marBottom w:val="120"/>
          <w:divBdr>
            <w:top w:val="none" w:sz="0" w:space="0" w:color="auto"/>
            <w:left w:val="none" w:sz="0" w:space="0" w:color="auto"/>
            <w:bottom w:val="none" w:sz="0" w:space="0" w:color="auto"/>
            <w:right w:val="none" w:sz="0" w:space="0" w:color="auto"/>
          </w:divBdr>
        </w:div>
        <w:div w:id="681669818">
          <w:marLeft w:val="547"/>
          <w:marRight w:val="0"/>
          <w:marTop w:val="0"/>
          <w:marBottom w:val="120"/>
          <w:divBdr>
            <w:top w:val="none" w:sz="0" w:space="0" w:color="auto"/>
            <w:left w:val="none" w:sz="0" w:space="0" w:color="auto"/>
            <w:bottom w:val="none" w:sz="0" w:space="0" w:color="auto"/>
            <w:right w:val="none" w:sz="0" w:space="0" w:color="auto"/>
          </w:divBdr>
        </w:div>
        <w:div w:id="718936236">
          <w:marLeft w:val="547"/>
          <w:marRight w:val="0"/>
          <w:marTop w:val="0"/>
          <w:marBottom w:val="120"/>
          <w:divBdr>
            <w:top w:val="none" w:sz="0" w:space="0" w:color="auto"/>
            <w:left w:val="none" w:sz="0" w:space="0" w:color="auto"/>
            <w:bottom w:val="none" w:sz="0" w:space="0" w:color="auto"/>
            <w:right w:val="none" w:sz="0" w:space="0" w:color="auto"/>
          </w:divBdr>
        </w:div>
        <w:div w:id="766850658">
          <w:marLeft w:val="547"/>
          <w:marRight w:val="0"/>
          <w:marTop w:val="0"/>
          <w:marBottom w:val="120"/>
          <w:divBdr>
            <w:top w:val="none" w:sz="0" w:space="0" w:color="auto"/>
            <w:left w:val="none" w:sz="0" w:space="0" w:color="auto"/>
            <w:bottom w:val="none" w:sz="0" w:space="0" w:color="auto"/>
            <w:right w:val="none" w:sz="0" w:space="0" w:color="auto"/>
          </w:divBdr>
        </w:div>
        <w:div w:id="1015350177">
          <w:marLeft w:val="547"/>
          <w:marRight w:val="0"/>
          <w:marTop w:val="0"/>
          <w:marBottom w:val="120"/>
          <w:divBdr>
            <w:top w:val="none" w:sz="0" w:space="0" w:color="auto"/>
            <w:left w:val="none" w:sz="0" w:space="0" w:color="auto"/>
            <w:bottom w:val="none" w:sz="0" w:space="0" w:color="auto"/>
            <w:right w:val="none" w:sz="0" w:space="0" w:color="auto"/>
          </w:divBdr>
        </w:div>
        <w:div w:id="1017846713">
          <w:marLeft w:val="547"/>
          <w:marRight w:val="0"/>
          <w:marTop w:val="0"/>
          <w:marBottom w:val="120"/>
          <w:divBdr>
            <w:top w:val="none" w:sz="0" w:space="0" w:color="auto"/>
            <w:left w:val="none" w:sz="0" w:space="0" w:color="auto"/>
            <w:bottom w:val="none" w:sz="0" w:space="0" w:color="auto"/>
            <w:right w:val="none" w:sz="0" w:space="0" w:color="auto"/>
          </w:divBdr>
        </w:div>
        <w:div w:id="1113790616">
          <w:marLeft w:val="547"/>
          <w:marRight w:val="0"/>
          <w:marTop w:val="0"/>
          <w:marBottom w:val="120"/>
          <w:divBdr>
            <w:top w:val="none" w:sz="0" w:space="0" w:color="auto"/>
            <w:left w:val="none" w:sz="0" w:space="0" w:color="auto"/>
            <w:bottom w:val="none" w:sz="0" w:space="0" w:color="auto"/>
            <w:right w:val="none" w:sz="0" w:space="0" w:color="auto"/>
          </w:divBdr>
        </w:div>
        <w:div w:id="1466771965">
          <w:marLeft w:val="547"/>
          <w:marRight w:val="0"/>
          <w:marTop w:val="0"/>
          <w:marBottom w:val="120"/>
          <w:divBdr>
            <w:top w:val="none" w:sz="0" w:space="0" w:color="auto"/>
            <w:left w:val="none" w:sz="0" w:space="0" w:color="auto"/>
            <w:bottom w:val="none" w:sz="0" w:space="0" w:color="auto"/>
            <w:right w:val="none" w:sz="0" w:space="0" w:color="auto"/>
          </w:divBdr>
        </w:div>
        <w:div w:id="1582831875">
          <w:marLeft w:val="547"/>
          <w:marRight w:val="0"/>
          <w:marTop w:val="0"/>
          <w:marBottom w:val="120"/>
          <w:divBdr>
            <w:top w:val="none" w:sz="0" w:space="0" w:color="auto"/>
            <w:left w:val="none" w:sz="0" w:space="0" w:color="auto"/>
            <w:bottom w:val="none" w:sz="0" w:space="0" w:color="auto"/>
            <w:right w:val="none" w:sz="0" w:space="0" w:color="auto"/>
          </w:divBdr>
        </w:div>
        <w:div w:id="1906378135">
          <w:marLeft w:val="547"/>
          <w:marRight w:val="0"/>
          <w:marTop w:val="0"/>
          <w:marBottom w:val="120"/>
          <w:divBdr>
            <w:top w:val="none" w:sz="0" w:space="0" w:color="auto"/>
            <w:left w:val="none" w:sz="0" w:space="0" w:color="auto"/>
            <w:bottom w:val="none" w:sz="0" w:space="0" w:color="auto"/>
            <w:right w:val="none" w:sz="0" w:space="0" w:color="auto"/>
          </w:divBdr>
        </w:div>
      </w:divsChild>
    </w:div>
    <w:div w:id="807170334">
      <w:bodyDiv w:val="1"/>
      <w:marLeft w:val="0"/>
      <w:marRight w:val="0"/>
      <w:marTop w:val="0"/>
      <w:marBottom w:val="0"/>
      <w:divBdr>
        <w:top w:val="none" w:sz="0" w:space="0" w:color="auto"/>
        <w:left w:val="none" w:sz="0" w:space="0" w:color="auto"/>
        <w:bottom w:val="none" w:sz="0" w:space="0" w:color="auto"/>
        <w:right w:val="none" w:sz="0" w:space="0" w:color="auto"/>
      </w:divBdr>
    </w:div>
    <w:div w:id="819424765">
      <w:bodyDiv w:val="1"/>
      <w:marLeft w:val="0"/>
      <w:marRight w:val="0"/>
      <w:marTop w:val="0"/>
      <w:marBottom w:val="0"/>
      <w:divBdr>
        <w:top w:val="none" w:sz="0" w:space="0" w:color="auto"/>
        <w:left w:val="none" w:sz="0" w:space="0" w:color="auto"/>
        <w:bottom w:val="none" w:sz="0" w:space="0" w:color="auto"/>
        <w:right w:val="none" w:sz="0" w:space="0" w:color="auto"/>
      </w:divBdr>
      <w:divsChild>
        <w:div w:id="728723526">
          <w:marLeft w:val="360"/>
          <w:marRight w:val="0"/>
          <w:marTop w:val="200"/>
          <w:marBottom w:val="0"/>
          <w:divBdr>
            <w:top w:val="none" w:sz="0" w:space="0" w:color="auto"/>
            <w:left w:val="none" w:sz="0" w:space="0" w:color="auto"/>
            <w:bottom w:val="none" w:sz="0" w:space="0" w:color="auto"/>
            <w:right w:val="none" w:sz="0" w:space="0" w:color="auto"/>
          </w:divBdr>
        </w:div>
        <w:div w:id="1570581630">
          <w:marLeft w:val="1080"/>
          <w:marRight w:val="0"/>
          <w:marTop w:val="100"/>
          <w:marBottom w:val="0"/>
          <w:divBdr>
            <w:top w:val="none" w:sz="0" w:space="0" w:color="auto"/>
            <w:left w:val="none" w:sz="0" w:space="0" w:color="auto"/>
            <w:bottom w:val="none" w:sz="0" w:space="0" w:color="auto"/>
            <w:right w:val="none" w:sz="0" w:space="0" w:color="auto"/>
          </w:divBdr>
        </w:div>
        <w:div w:id="1649016875">
          <w:marLeft w:val="1080"/>
          <w:marRight w:val="0"/>
          <w:marTop w:val="100"/>
          <w:marBottom w:val="0"/>
          <w:divBdr>
            <w:top w:val="none" w:sz="0" w:space="0" w:color="auto"/>
            <w:left w:val="none" w:sz="0" w:space="0" w:color="auto"/>
            <w:bottom w:val="none" w:sz="0" w:space="0" w:color="auto"/>
            <w:right w:val="none" w:sz="0" w:space="0" w:color="auto"/>
          </w:divBdr>
        </w:div>
        <w:div w:id="320887862">
          <w:marLeft w:val="1080"/>
          <w:marRight w:val="0"/>
          <w:marTop w:val="100"/>
          <w:marBottom w:val="0"/>
          <w:divBdr>
            <w:top w:val="none" w:sz="0" w:space="0" w:color="auto"/>
            <w:left w:val="none" w:sz="0" w:space="0" w:color="auto"/>
            <w:bottom w:val="none" w:sz="0" w:space="0" w:color="auto"/>
            <w:right w:val="none" w:sz="0" w:space="0" w:color="auto"/>
          </w:divBdr>
        </w:div>
      </w:divsChild>
    </w:div>
    <w:div w:id="820314992">
      <w:bodyDiv w:val="1"/>
      <w:marLeft w:val="0"/>
      <w:marRight w:val="0"/>
      <w:marTop w:val="0"/>
      <w:marBottom w:val="0"/>
      <w:divBdr>
        <w:top w:val="none" w:sz="0" w:space="0" w:color="auto"/>
        <w:left w:val="none" w:sz="0" w:space="0" w:color="auto"/>
        <w:bottom w:val="none" w:sz="0" w:space="0" w:color="auto"/>
        <w:right w:val="none" w:sz="0" w:space="0" w:color="auto"/>
      </w:divBdr>
    </w:div>
    <w:div w:id="825785144">
      <w:bodyDiv w:val="1"/>
      <w:marLeft w:val="0"/>
      <w:marRight w:val="0"/>
      <w:marTop w:val="0"/>
      <w:marBottom w:val="0"/>
      <w:divBdr>
        <w:top w:val="none" w:sz="0" w:space="0" w:color="auto"/>
        <w:left w:val="none" w:sz="0" w:space="0" w:color="auto"/>
        <w:bottom w:val="none" w:sz="0" w:space="0" w:color="auto"/>
        <w:right w:val="none" w:sz="0" w:space="0" w:color="auto"/>
      </w:divBdr>
    </w:div>
    <w:div w:id="864907230">
      <w:bodyDiv w:val="1"/>
      <w:marLeft w:val="0"/>
      <w:marRight w:val="0"/>
      <w:marTop w:val="0"/>
      <w:marBottom w:val="0"/>
      <w:divBdr>
        <w:top w:val="none" w:sz="0" w:space="0" w:color="auto"/>
        <w:left w:val="none" w:sz="0" w:space="0" w:color="auto"/>
        <w:bottom w:val="none" w:sz="0" w:space="0" w:color="auto"/>
        <w:right w:val="none" w:sz="0" w:space="0" w:color="auto"/>
      </w:divBdr>
    </w:div>
    <w:div w:id="1028338163">
      <w:bodyDiv w:val="1"/>
      <w:marLeft w:val="0"/>
      <w:marRight w:val="0"/>
      <w:marTop w:val="0"/>
      <w:marBottom w:val="0"/>
      <w:divBdr>
        <w:top w:val="none" w:sz="0" w:space="0" w:color="auto"/>
        <w:left w:val="none" w:sz="0" w:space="0" w:color="auto"/>
        <w:bottom w:val="none" w:sz="0" w:space="0" w:color="auto"/>
        <w:right w:val="none" w:sz="0" w:space="0" w:color="auto"/>
      </w:divBdr>
    </w:div>
    <w:div w:id="1084691358">
      <w:bodyDiv w:val="1"/>
      <w:marLeft w:val="0"/>
      <w:marRight w:val="0"/>
      <w:marTop w:val="0"/>
      <w:marBottom w:val="0"/>
      <w:divBdr>
        <w:top w:val="none" w:sz="0" w:space="0" w:color="auto"/>
        <w:left w:val="none" w:sz="0" w:space="0" w:color="auto"/>
        <w:bottom w:val="none" w:sz="0" w:space="0" w:color="auto"/>
        <w:right w:val="none" w:sz="0" w:space="0" w:color="auto"/>
      </w:divBdr>
    </w:div>
    <w:div w:id="1126000060">
      <w:bodyDiv w:val="1"/>
      <w:marLeft w:val="0"/>
      <w:marRight w:val="0"/>
      <w:marTop w:val="0"/>
      <w:marBottom w:val="0"/>
      <w:divBdr>
        <w:top w:val="none" w:sz="0" w:space="0" w:color="auto"/>
        <w:left w:val="none" w:sz="0" w:space="0" w:color="auto"/>
        <w:bottom w:val="none" w:sz="0" w:space="0" w:color="auto"/>
        <w:right w:val="none" w:sz="0" w:space="0" w:color="auto"/>
      </w:divBdr>
      <w:divsChild>
        <w:div w:id="101733415">
          <w:marLeft w:val="1440"/>
          <w:marRight w:val="0"/>
          <w:marTop w:val="0"/>
          <w:marBottom w:val="0"/>
          <w:divBdr>
            <w:top w:val="none" w:sz="0" w:space="0" w:color="auto"/>
            <w:left w:val="none" w:sz="0" w:space="0" w:color="auto"/>
            <w:bottom w:val="none" w:sz="0" w:space="0" w:color="auto"/>
            <w:right w:val="none" w:sz="0" w:space="0" w:color="auto"/>
          </w:divBdr>
        </w:div>
        <w:div w:id="500702649">
          <w:marLeft w:val="1440"/>
          <w:marRight w:val="0"/>
          <w:marTop w:val="0"/>
          <w:marBottom w:val="0"/>
          <w:divBdr>
            <w:top w:val="none" w:sz="0" w:space="0" w:color="auto"/>
            <w:left w:val="none" w:sz="0" w:space="0" w:color="auto"/>
            <w:bottom w:val="none" w:sz="0" w:space="0" w:color="auto"/>
            <w:right w:val="none" w:sz="0" w:space="0" w:color="auto"/>
          </w:divBdr>
        </w:div>
        <w:div w:id="728382382">
          <w:marLeft w:val="1440"/>
          <w:marRight w:val="0"/>
          <w:marTop w:val="0"/>
          <w:marBottom w:val="0"/>
          <w:divBdr>
            <w:top w:val="none" w:sz="0" w:space="0" w:color="auto"/>
            <w:left w:val="none" w:sz="0" w:space="0" w:color="auto"/>
            <w:bottom w:val="none" w:sz="0" w:space="0" w:color="auto"/>
            <w:right w:val="none" w:sz="0" w:space="0" w:color="auto"/>
          </w:divBdr>
        </w:div>
        <w:div w:id="884295786">
          <w:marLeft w:val="1440"/>
          <w:marRight w:val="0"/>
          <w:marTop w:val="0"/>
          <w:marBottom w:val="0"/>
          <w:divBdr>
            <w:top w:val="none" w:sz="0" w:space="0" w:color="auto"/>
            <w:left w:val="none" w:sz="0" w:space="0" w:color="auto"/>
            <w:bottom w:val="none" w:sz="0" w:space="0" w:color="auto"/>
            <w:right w:val="none" w:sz="0" w:space="0" w:color="auto"/>
          </w:divBdr>
        </w:div>
        <w:div w:id="1142843434">
          <w:marLeft w:val="1440"/>
          <w:marRight w:val="0"/>
          <w:marTop w:val="0"/>
          <w:marBottom w:val="0"/>
          <w:divBdr>
            <w:top w:val="none" w:sz="0" w:space="0" w:color="auto"/>
            <w:left w:val="none" w:sz="0" w:space="0" w:color="auto"/>
            <w:bottom w:val="none" w:sz="0" w:space="0" w:color="auto"/>
            <w:right w:val="none" w:sz="0" w:space="0" w:color="auto"/>
          </w:divBdr>
        </w:div>
        <w:div w:id="1211653564">
          <w:marLeft w:val="1440"/>
          <w:marRight w:val="0"/>
          <w:marTop w:val="0"/>
          <w:marBottom w:val="0"/>
          <w:divBdr>
            <w:top w:val="none" w:sz="0" w:space="0" w:color="auto"/>
            <w:left w:val="none" w:sz="0" w:space="0" w:color="auto"/>
            <w:bottom w:val="none" w:sz="0" w:space="0" w:color="auto"/>
            <w:right w:val="none" w:sz="0" w:space="0" w:color="auto"/>
          </w:divBdr>
        </w:div>
        <w:div w:id="1495102150">
          <w:marLeft w:val="1267"/>
          <w:marRight w:val="0"/>
          <w:marTop w:val="0"/>
          <w:marBottom w:val="0"/>
          <w:divBdr>
            <w:top w:val="none" w:sz="0" w:space="0" w:color="auto"/>
            <w:left w:val="none" w:sz="0" w:space="0" w:color="auto"/>
            <w:bottom w:val="none" w:sz="0" w:space="0" w:color="auto"/>
            <w:right w:val="none" w:sz="0" w:space="0" w:color="auto"/>
          </w:divBdr>
        </w:div>
        <w:div w:id="1514685325">
          <w:marLeft w:val="1440"/>
          <w:marRight w:val="0"/>
          <w:marTop w:val="0"/>
          <w:marBottom w:val="0"/>
          <w:divBdr>
            <w:top w:val="none" w:sz="0" w:space="0" w:color="auto"/>
            <w:left w:val="none" w:sz="0" w:space="0" w:color="auto"/>
            <w:bottom w:val="none" w:sz="0" w:space="0" w:color="auto"/>
            <w:right w:val="none" w:sz="0" w:space="0" w:color="auto"/>
          </w:divBdr>
        </w:div>
        <w:div w:id="1830823268">
          <w:marLeft w:val="1267"/>
          <w:marRight w:val="0"/>
          <w:marTop w:val="0"/>
          <w:marBottom w:val="0"/>
          <w:divBdr>
            <w:top w:val="none" w:sz="0" w:space="0" w:color="auto"/>
            <w:left w:val="none" w:sz="0" w:space="0" w:color="auto"/>
            <w:bottom w:val="none" w:sz="0" w:space="0" w:color="auto"/>
            <w:right w:val="none" w:sz="0" w:space="0" w:color="auto"/>
          </w:divBdr>
        </w:div>
      </w:divsChild>
    </w:div>
    <w:div w:id="1187056448">
      <w:bodyDiv w:val="1"/>
      <w:marLeft w:val="0"/>
      <w:marRight w:val="0"/>
      <w:marTop w:val="0"/>
      <w:marBottom w:val="0"/>
      <w:divBdr>
        <w:top w:val="none" w:sz="0" w:space="0" w:color="auto"/>
        <w:left w:val="none" w:sz="0" w:space="0" w:color="auto"/>
        <w:bottom w:val="none" w:sz="0" w:space="0" w:color="auto"/>
        <w:right w:val="none" w:sz="0" w:space="0" w:color="auto"/>
      </w:divBdr>
    </w:div>
    <w:div w:id="1256785030">
      <w:bodyDiv w:val="1"/>
      <w:marLeft w:val="0"/>
      <w:marRight w:val="0"/>
      <w:marTop w:val="0"/>
      <w:marBottom w:val="0"/>
      <w:divBdr>
        <w:top w:val="none" w:sz="0" w:space="0" w:color="auto"/>
        <w:left w:val="none" w:sz="0" w:space="0" w:color="auto"/>
        <w:bottom w:val="none" w:sz="0" w:space="0" w:color="auto"/>
        <w:right w:val="none" w:sz="0" w:space="0" w:color="auto"/>
      </w:divBdr>
      <w:divsChild>
        <w:div w:id="55710586">
          <w:marLeft w:val="547"/>
          <w:marRight w:val="0"/>
          <w:marTop w:val="0"/>
          <w:marBottom w:val="120"/>
          <w:divBdr>
            <w:top w:val="none" w:sz="0" w:space="0" w:color="auto"/>
            <w:left w:val="none" w:sz="0" w:space="0" w:color="auto"/>
            <w:bottom w:val="none" w:sz="0" w:space="0" w:color="auto"/>
            <w:right w:val="none" w:sz="0" w:space="0" w:color="auto"/>
          </w:divBdr>
        </w:div>
        <w:div w:id="148791498">
          <w:marLeft w:val="547"/>
          <w:marRight w:val="0"/>
          <w:marTop w:val="0"/>
          <w:marBottom w:val="120"/>
          <w:divBdr>
            <w:top w:val="none" w:sz="0" w:space="0" w:color="auto"/>
            <w:left w:val="none" w:sz="0" w:space="0" w:color="auto"/>
            <w:bottom w:val="none" w:sz="0" w:space="0" w:color="auto"/>
            <w:right w:val="none" w:sz="0" w:space="0" w:color="auto"/>
          </w:divBdr>
        </w:div>
        <w:div w:id="438986028">
          <w:marLeft w:val="547"/>
          <w:marRight w:val="0"/>
          <w:marTop w:val="0"/>
          <w:marBottom w:val="120"/>
          <w:divBdr>
            <w:top w:val="none" w:sz="0" w:space="0" w:color="auto"/>
            <w:left w:val="none" w:sz="0" w:space="0" w:color="auto"/>
            <w:bottom w:val="none" w:sz="0" w:space="0" w:color="auto"/>
            <w:right w:val="none" w:sz="0" w:space="0" w:color="auto"/>
          </w:divBdr>
        </w:div>
        <w:div w:id="596065345">
          <w:marLeft w:val="547"/>
          <w:marRight w:val="0"/>
          <w:marTop w:val="0"/>
          <w:marBottom w:val="120"/>
          <w:divBdr>
            <w:top w:val="none" w:sz="0" w:space="0" w:color="auto"/>
            <w:left w:val="none" w:sz="0" w:space="0" w:color="auto"/>
            <w:bottom w:val="none" w:sz="0" w:space="0" w:color="auto"/>
            <w:right w:val="none" w:sz="0" w:space="0" w:color="auto"/>
          </w:divBdr>
        </w:div>
        <w:div w:id="864751056">
          <w:marLeft w:val="547"/>
          <w:marRight w:val="0"/>
          <w:marTop w:val="0"/>
          <w:marBottom w:val="120"/>
          <w:divBdr>
            <w:top w:val="none" w:sz="0" w:space="0" w:color="auto"/>
            <w:left w:val="none" w:sz="0" w:space="0" w:color="auto"/>
            <w:bottom w:val="none" w:sz="0" w:space="0" w:color="auto"/>
            <w:right w:val="none" w:sz="0" w:space="0" w:color="auto"/>
          </w:divBdr>
        </w:div>
        <w:div w:id="991718967">
          <w:marLeft w:val="547"/>
          <w:marRight w:val="0"/>
          <w:marTop w:val="0"/>
          <w:marBottom w:val="120"/>
          <w:divBdr>
            <w:top w:val="none" w:sz="0" w:space="0" w:color="auto"/>
            <w:left w:val="none" w:sz="0" w:space="0" w:color="auto"/>
            <w:bottom w:val="none" w:sz="0" w:space="0" w:color="auto"/>
            <w:right w:val="none" w:sz="0" w:space="0" w:color="auto"/>
          </w:divBdr>
        </w:div>
        <w:div w:id="997809838">
          <w:marLeft w:val="547"/>
          <w:marRight w:val="0"/>
          <w:marTop w:val="0"/>
          <w:marBottom w:val="120"/>
          <w:divBdr>
            <w:top w:val="none" w:sz="0" w:space="0" w:color="auto"/>
            <w:left w:val="none" w:sz="0" w:space="0" w:color="auto"/>
            <w:bottom w:val="none" w:sz="0" w:space="0" w:color="auto"/>
            <w:right w:val="none" w:sz="0" w:space="0" w:color="auto"/>
          </w:divBdr>
        </w:div>
        <w:div w:id="1081174274">
          <w:marLeft w:val="547"/>
          <w:marRight w:val="0"/>
          <w:marTop w:val="0"/>
          <w:marBottom w:val="120"/>
          <w:divBdr>
            <w:top w:val="none" w:sz="0" w:space="0" w:color="auto"/>
            <w:left w:val="none" w:sz="0" w:space="0" w:color="auto"/>
            <w:bottom w:val="none" w:sz="0" w:space="0" w:color="auto"/>
            <w:right w:val="none" w:sz="0" w:space="0" w:color="auto"/>
          </w:divBdr>
        </w:div>
        <w:div w:id="1295019892">
          <w:marLeft w:val="547"/>
          <w:marRight w:val="0"/>
          <w:marTop w:val="0"/>
          <w:marBottom w:val="120"/>
          <w:divBdr>
            <w:top w:val="none" w:sz="0" w:space="0" w:color="auto"/>
            <w:left w:val="none" w:sz="0" w:space="0" w:color="auto"/>
            <w:bottom w:val="none" w:sz="0" w:space="0" w:color="auto"/>
            <w:right w:val="none" w:sz="0" w:space="0" w:color="auto"/>
          </w:divBdr>
        </w:div>
        <w:div w:id="1710063165">
          <w:marLeft w:val="547"/>
          <w:marRight w:val="0"/>
          <w:marTop w:val="0"/>
          <w:marBottom w:val="120"/>
          <w:divBdr>
            <w:top w:val="none" w:sz="0" w:space="0" w:color="auto"/>
            <w:left w:val="none" w:sz="0" w:space="0" w:color="auto"/>
            <w:bottom w:val="none" w:sz="0" w:space="0" w:color="auto"/>
            <w:right w:val="none" w:sz="0" w:space="0" w:color="auto"/>
          </w:divBdr>
        </w:div>
        <w:div w:id="1935629064">
          <w:marLeft w:val="547"/>
          <w:marRight w:val="0"/>
          <w:marTop w:val="0"/>
          <w:marBottom w:val="120"/>
          <w:divBdr>
            <w:top w:val="none" w:sz="0" w:space="0" w:color="auto"/>
            <w:left w:val="none" w:sz="0" w:space="0" w:color="auto"/>
            <w:bottom w:val="none" w:sz="0" w:space="0" w:color="auto"/>
            <w:right w:val="none" w:sz="0" w:space="0" w:color="auto"/>
          </w:divBdr>
        </w:div>
        <w:div w:id="2119986172">
          <w:marLeft w:val="547"/>
          <w:marRight w:val="0"/>
          <w:marTop w:val="0"/>
          <w:marBottom w:val="120"/>
          <w:divBdr>
            <w:top w:val="none" w:sz="0" w:space="0" w:color="auto"/>
            <w:left w:val="none" w:sz="0" w:space="0" w:color="auto"/>
            <w:bottom w:val="none" w:sz="0" w:space="0" w:color="auto"/>
            <w:right w:val="none" w:sz="0" w:space="0" w:color="auto"/>
          </w:divBdr>
        </w:div>
      </w:divsChild>
    </w:div>
    <w:div w:id="1270048822">
      <w:bodyDiv w:val="1"/>
      <w:marLeft w:val="0"/>
      <w:marRight w:val="0"/>
      <w:marTop w:val="0"/>
      <w:marBottom w:val="0"/>
      <w:divBdr>
        <w:top w:val="none" w:sz="0" w:space="0" w:color="auto"/>
        <w:left w:val="none" w:sz="0" w:space="0" w:color="auto"/>
        <w:bottom w:val="none" w:sz="0" w:space="0" w:color="auto"/>
        <w:right w:val="none" w:sz="0" w:space="0" w:color="auto"/>
      </w:divBdr>
    </w:div>
    <w:div w:id="1461922340">
      <w:bodyDiv w:val="1"/>
      <w:marLeft w:val="0"/>
      <w:marRight w:val="0"/>
      <w:marTop w:val="0"/>
      <w:marBottom w:val="0"/>
      <w:divBdr>
        <w:top w:val="none" w:sz="0" w:space="0" w:color="auto"/>
        <w:left w:val="none" w:sz="0" w:space="0" w:color="auto"/>
        <w:bottom w:val="none" w:sz="0" w:space="0" w:color="auto"/>
        <w:right w:val="none" w:sz="0" w:space="0" w:color="auto"/>
      </w:divBdr>
    </w:div>
    <w:div w:id="1564753643">
      <w:bodyDiv w:val="1"/>
      <w:marLeft w:val="0"/>
      <w:marRight w:val="0"/>
      <w:marTop w:val="0"/>
      <w:marBottom w:val="0"/>
      <w:divBdr>
        <w:top w:val="none" w:sz="0" w:space="0" w:color="auto"/>
        <w:left w:val="none" w:sz="0" w:space="0" w:color="auto"/>
        <w:bottom w:val="none" w:sz="0" w:space="0" w:color="auto"/>
        <w:right w:val="none" w:sz="0" w:space="0" w:color="auto"/>
      </w:divBdr>
    </w:div>
    <w:div w:id="1572153905">
      <w:bodyDiv w:val="1"/>
      <w:marLeft w:val="0"/>
      <w:marRight w:val="0"/>
      <w:marTop w:val="0"/>
      <w:marBottom w:val="0"/>
      <w:divBdr>
        <w:top w:val="none" w:sz="0" w:space="0" w:color="auto"/>
        <w:left w:val="none" w:sz="0" w:space="0" w:color="auto"/>
        <w:bottom w:val="none" w:sz="0" w:space="0" w:color="auto"/>
        <w:right w:val="none" w:sz="0" w:space="0" w:color="auto"/>
      </w:divBdr>
    </w:div>
    <w:div w:id="1572497818">
      <w:bodyDiv w:val="1"/>
      <w:marLeft w:val="0"/>
      <w:marRight w:val="0"/>
      <w:marTop w:val="0"/>
      <w:marBottom w:val="0"/>
      <w:divBdr>
        <w:top w:val="none" w:sz="0" w:space="0" w:color="auto"/>
        <w:left w:val="none" w:sz="0" w:space="0" w:color="auto"/>
        <w:bottom w:val="none" w:sz="0" w:space="0" w:color="auto"/>
        <w:right w:val="none" w:sz="0" w:space="0" w:color="auto"/>
      </w:divBdr>
    </w:div>
    <w:div w:id="1689483229">
      <w:bodyDiv w:val="1"/>
      <w:marLeft w:val="0"/>
      <w:marRight w:val="0"/>
      <w:marTop w:val="0"/>
      <w:marBottom w:val="0"/>
      <w:divBdr>
        <w:top w:val="none" w:sz="0" w:space="0" w:color="auto"/>
        <w:left w:val="none" w:sz="0" w:space="0" w:color="auto"/>
        <w:bottom w:val="none" w:sz="0" w:space="0" w:color="auto"/>
        <w:right w:val="none" w:sz="0" w:space="0" w:color="auto"/>
      </w:divBdr>
    </w:div>
    <w:div w:id="1731806628">
      <w:bodyDiv w:val="1"/>
      <w:marLeft w:val="0"/>
      <w:marRight w:val="0"/>
      <w:marTop w:val="0"/>
      <w:marBottom w:val="0"/>
      <w:divBdr>
        <w:top w:val="none" w:sz="0" w:space="0" w:color="auto"/>
        <w:left w:val="none" w:sz="0" w:space="0" w:color="auto"/>
        <w:bottom w:val="none" w:sz="0" w:space="0" w:color="auto"/>
        <w:right w:val="none" w:sz="0" w:space="0" w:color="auto"/>
      </w:divBdr>
      <w:divsChild>
        <w:div w:id="678167044">
          <w:marLeft w:val="1267"/>
          <w:marRight w:val="0"/>
          <w:marTop w:val="0"/>
          <w:marBottom w:val="0"/>
          <w:divBdr>
            <w:top w:val="none" w:sz="0" w:space="0" w:color="auto"/>
            <w:left w:val="none" w:sz="0" w:space="0" w:color="auto"/>
            <w:bottom w:val="none" w:sz="0" w:space="0" w:color="auto"/>
            <w:right w:val="none" w:sz="0" w:space="0" w:color="auto"/>
          </w:divBdr>
        </w:div>
      </w:divsChild>
    </w:div>
    <w:div w:id="1735663013">
      <w:bodyDiv w:val="1"/>
      <w:marLeft w:val="0"/>
      <w:marRight w:val="0"/>
      <w:marTop w:val="0"/>
      <w:marBottom w:val="0"/>
      <w:divBdr>
        <w:top w:val="none" w:sz="0" w:space="0" w:color="auto"/>
        <w:left w:val="none" w:sz="0" w:space="0" w:color="auto"/>
        <w:bottom w:val="none" w:sz="0" w:space="0" w:color="auto"/>
        <w:right w:val="none" w:sz="0" w:space="0" w:color="auto"/>
      </w:divBdr>
    </w:div>
    <w:div w:id="1761245980">
      <w:bodyDiv w:val="1"/>
      <w:marLeft w:val="0"/>
      <w:marRight w:val="0"/>
      <w:marTop w:val="0"/>
      <w:marBottom w:val="0"/>
      <w:divBdr>
        <w:top w:val="none" w:sz="0" w:space="0" w:color="auto"/>
        <w:left w:val="none" w:sz="0" w:space="0" w:color="auto"/>
        <w:bottom w:val="none" w:sz="0" w:space="0" w:color="auto"/>
        <w:right w:val="none" w:sz="0" w:space="0" w:color="auto"/>
      </w:divBdr>
    </w:div>
    <w:div w:id="1786775711">
      <w:bodyDiv w:val="1"/>
      <w:marLeft w:val="0"/>
      <w:marRight w:val="0"/>
      <w:marTop w:val="0"/>
      <w:marBottom w:val="0"/>
      <w:divBdr>
        <w:top w:val="none" w:sz="0" w:space="0" w:color="auto"/>
        <w:left w:val="none" w:sz="0" w:space="0" w:color="auto"/>
        <w:bottom w:val="none" w:sz="0" w:space="0" w:color="auto"/>
        <w:right w:val="none" w:sz="0" w:space="0" w:color="auto"/>
      </w:divBdr>
    </w:div>
    <w:div w:id="1813399167">
      <w:bodyDiv w:val="1"/>
      <w:marLeft w:val="0"/>
      <w:marRight w:val="0"/>
      <w:marTop w:val="0"/>
      <w:marBottom w:val="0"/>
      <w:divBdr>
        <w:top w:val="none" w:sz="0" w:space="0" w:color="auto"/>
        <w:left w:val="none" w:sz="0" w:space="0" w:color="auto"/>
        <w:bottom w:val="none" w:sz="0" w:space="0" w:color="auto"/>
        <w:right w:val="none" w:sz="0" w:space="0" w:color="auto"/>
      </w:divBdr>
      <w:divsChild>
        <w:div w:id="100338747">
          <w:marLeft w:val="547"/>
          <w:marRight w:val="0"/>
          <w:marTop w:val="0"/>
          <w:marBottom w:val="120"/>
          <w:divBdr>
            <w:top w:val="none" w:sz="0" w:space="0" w:color="auto"/>
            <w:left w:val="none" w:sz="0" w:space="0" w:color="auto"/>
            <w:bottom w:val="none" w:sz="0" w:space="0" w:color="auto"/>
            <w:right w:val="none" w:sz="0" w:space="0" w:color="auto"/>
          </w:divBdr>
        </w:div>
        <w:div w:id="170726087">
          <w:marLeft w:val="547"/>
          <w:marRight w:val="0"/>
          <w:marTop w:val="0"/>
          <w:marBottom w:val="120"/>
          <w:divBdr>
            <w:top w:val="none" w:sz="0" w:space="0" w:color="auto"/>
            <w:left w:val="none" w:sz="0" w:space="0" w:color="auto"/>
            <w:bottom w:val="none" w:sz="0" w:space="0" w:color="auto"/>
            <w:right w:val="none" w:sz="0" w:space="0" w:color="auto"/>
          </w:divBdr>
        </w:div>
        <w:div w:id="262879577">
          <w:marLeft w:val="547"/>
          <w:marRight w:val="0"/>
          <w:marTop w:val="0"/>
          <w:marBottom w:val="120"/>
          <w:divBdr>
            <w:top w:val="none" w:sz="0" w:space="0" w:color="auto"/>
            <w:left w:val="none" w:sz="0" w:space="0" w:color="auto"/>
            <w:bottom w:val="none" w:sz="0" w:space="0" w:color="auto"/>
            <w:right w:val="none" w:sz="0" w:space="0" w:color="auto"/>
          </w:divBdr>
        </w:div>
        <w:div w:id="514079534">
          <w:marLeft w:val="547"/>
          <w:marRight w:val="0"/>
          <w:marTop w:val="0"/>
          <w:marBottom w:val="120"/>
          <w:divBdr>
            <w:top w:val="none" w:sz="0" w:space="0" w:color="auto"/>
            <w:left w:val="none" w:sz="0" w:space="0" w:color="auto"/>
            <w:bottom w:val="none" w:sz="0" w:space="0" w:color="auto"/>
            <w:right w:val="none" w:sz="0" w:space="0" w:color="auto"/>
          </w:divBdr>
        </w:div>
        <w:div w:id="563831690">
          <w:marLeft w:val="547"/>
          <w:marRight w:val="0"/>
          <w:marTop w:val="0"/>
          <w:marBottom w:val="120"/>
          <w:divBdr>
            <w:top w:val="none" w:sz="0" w:space="0" w:color="auto"/>
            <w:left w:val="none" w:sz="0" w:space="0" w:color="auto"/>
            <w:bottom w:val="none" w:sz="0" w:space="0" w:color="auto"/>
            <w:right w:val="none" w:sz="0" w:space="0" w:color="auto"/>
          </w:divBdr>
        </w:div>
        <w:div w:id="645932192">
          <w:marLeft w:val="547"/>
          <w:marRight w:val="0"/>
          <w:marTop w:val="0"/>
          <w:marBottom w:val="120"/>
          <w:divBdr>
            <w:top w:val="none" w:sz="0" w:space="0" w:color="auto"/>
            <w:left w:val="none" w:sz="0" w:space="0" w:color="auto"/>
            <w:bottom w:val="none" w:sz="0" w:space="0" w:color="auto"/>
            <w:right w:val="none" w:sz="0" w:space="0" w:color="auto"/>
          </w:divBdr>
        </w:div>
        <w:div w:id="832647121">
          <w:marLeft w:val="547"/>
          <w:marRight w:val="0"/>
          <w:marTop w:val="0"/>
          <w:marBottom w:val="120"/>
          <w:divBdr>
            <w:top w:val="none" w:sz="0" w:space="0" w:color="auto"/>
            <w:left w:val="none" w:sz="0" w:space="0" w:color="auto"/>
            <w:bottom w:val="none" w:sz="0" w:space="0" w:color="auto"/>
            <w:right w:val="none" w:sz="0" w:space="0" w:color="auto"/>
          </w:divBdr>
        </w:div>
        <w:div w:id="934023081">
          <w:marLeft w:val="547"/>
          <w:marRight w:val="0"/>
          <w:marTop w:val="0"/>
          <w:marBottom w:val="120"/>
          <w:divBdr>
            <w:top w:val="none" w:sz="0" w:space="0" w:color="auto"/>
            <w:left w:val="none" w:sz="0" w:space="0" w:color="auto"/>
            <w:bottom w:val="none" w:sz="0" w:space="0" w:color="auto"/>
            <w:right w:val="none" w:sz="0" w:space="0" w:color="auto"/>
          </w:divBdr>
        </w:div>
        <w:div w:id="1380006841">
          <w:marLeft w:val="547"/>
          <w:marRight w:val="0"/>
          <w:marTop w:val="0"/>
          <w:marBottom w:val="120"/>
          <w:divBdr>
            <w:top w:val="none" w:sz="0" w:space="0" w:color="auto"/>
            <w:left w:val="none" w:sz="0" w:space="0" w:color="auto"/>
            <w:bottom w:val="none" w:sz="0" w:space="0" w:color="auto"/>
            <w:right w:val="none" w:sz="0" w:space="0" w:color="auto"/>
          </w:divBdr>
        </w:div>
        <w:div w:id="1470392429">
          <w:marLeft w:val="547"/>
          <w:marRight w:val="0"/>
          <w:marTop w:val="0"/>
          <w:marBottom w:val="120"/>
          <w:divBdr>
            <w:top w:val="none" w:sz="0" w:space="0" w:color="auto"/>
            <w:left w:val="none" w:sz="0" w:space="0" w:color="auto"/>
            <w:bottom w:val="none" w:sz="0" w:space="0" w:color="auto"/>
            <w:right w:val="none" w:sz="0" w:space="0" w:color="auto"/>
          </w:divBdr>
        </w:div>
        <w:div w:id="1609697299">
          <w:marLeft w:val="547"/>
          <w:marRight w:val="0"/>
          <w:marTop w:val="0"/>
          <w:marBottom w:val="120"/>
          <w:divBdr>
            <w:top w:val="none" w:sz="0" w:space="0" w:color="auto"/>
            <w:left w:val="none" w:sz="0" w:space="0" w:color="auto"/>
            <w:bottom w:val="none" w:sz="0" w:space="0" w:color="auto"/>
            <w:right w:val="none" w:sz="0" w:space="0" w:color="auto"/>
          </w:divBdr>
        </w:div>
        <w:div w:id="2056925817">
          <w:marLeft w:val="547"/>
          <w:marRight w:val="0"/>
          <w:marTop w:val="0"/>
          <w:marBottom w:val="120"/>
          <w:divBdr>
            <w:top w:val="none" w:sz="0" w:space="0" w:color="auto"/>
            <w:left w:val="none" w:sz="0" w:space="0" w:color="auto"/>
            <w:bottom w:val="none" w:sz="0" w:space="0" w:color="auto"/>
            <w:right w:val="none" w:sz="0" w:space="0" w:color="auto"/>
          </w:divBdr>
        </w:div>
      </w:divsChild>
    </w:div>
    <w:div w:id="1815633670">
      <w:bodyDiv w:val="1"/>
      <w:marLeft w:val="0"/>
      <w:marRight w:val="0"/>
      <w:marTop w:val="0"/>
      <w:marBottom w:val="0"/>
      <w:divBdr>
        <w:top w:val="none" w:sz="0" w:space="0" w:color="auto"/>
        <w:left w:val="none" w:sz="0" w:space="0" w:color="auto"/>
        <w:bottom w:val="none" w:sz="0" w:space="0" w:color="auto"/>
        <w:right w:val="none" w:sz="0" w:space="0" w:color="auto"/>
      </w:divBdr>
    </w:div>
    <w:div w:id="1844977950">
      <w:bodyDiv w:val="1"/>
      <w:marLeft w:val="0"/>
      <w:marRight w:val="0"/>
      <w:marTop w:val="0"/>
      <w:marBottom w:val="0"/>
      <w:divBdr>
        <w:top w:val="none" w:sz="0" w:space="0" w:color="auto"/>
        <w:left w:val="none" w:sz="0" w:space="0" w:color="auto"/>
        <w:bottom w:val="none" w:sz="0" w:space="0" w:color="auto"/>
        <w:right w:val="none" w:sz="0" w:space="0" w:color="auto"/>
      </w:divBdr>
    </w:div>
    <w:div w:id="1951158381">
      <w:bodyDiv w:val="1"/>
      <w:marLeft w:val="0"/>
      <w:marRight w:val="0"/>
      <w:marTop w:val="0"/>
      <w:marBottom w:val="0"/>
      <w:divBdr>
        <w:top w:val="none" w:sz="0" w:space="0" w:color="auto"/>
        <w:left w:val="none" w:sz="0" w:space="0" w:color="auto"/>
        <w:bottom w:val="none" w:sz="0" w:space="0" w:color="auto"/>
        <w:right w:val="none" w:sz="0" w:space="0" w:color="auto"/>
      </w:divBdr>
    </w:div>
    <w:div w:id="1962952327">
      <w:bodyDiv w:val="1"/>
      <w:marLeft w:val="0"/>
      <w:marRight w:val="0"/>
      <w:marTop w:val="0"/>
      <w:marBottom w:val="0"/>
      <w:divBdr>
        <w:top w:val="none" w:sz="0" w:space="0" w:color="auto"/>
        <w:left w:val="none" w:sz="0" w:space="0" w:color="auto"/>
        <w:bottom w:val="none" w:sz="0" w:space="0" w:color="auto"/>
        <w:right w:val="none" w:sz="0" w:space="0" w:color="auto"/>
      </w:divBdr>
    </w:div>
    <w:div w:id="1963342275">
      <w:bodyDiv w:val="1"/>
      <w:marLeft w:val="0"/>
      <w:marRight w:val="0"/>
      <w:marTop w:val="0"/>
      <w:marBottom w:val="0"/>
      <w:divBdr>
        <w:top w:val="none" w:sz="0" w:space="0" w:color="auto"/>
        <w:left w:val="none" w:sz="0" w:space="0" w:color="auto"/>
        <w:bottom w:val="none" w:sz="0" w:space="0" w:color="auto"/>
        <w:right w:val="none" w:sz="0" w:space="0" w:color="auto"/>
      </w:divBdr>
    </w:div>
    <w:div w:id="1994404013">
      <w:bodyDiv w:val="1"/>
      <w:marLeft w:val="0"/>
      <w:marRight w:val="0"/>
      <w:marTop w:val="0"/>
      <w:marBottom w:val="0"/>
      <w:divBdr>
        <w:top w:val="none" w:sz="0" w:space="0" w:color="auto"/>
        <w:left w:val="none" w:sz="0" w:space="0" w:color="auto"/>
        <w:bottom w:val="none" w:sz="0" w:space="0" w:color="auto"/>
        <w:right w:val="none" w:sz="0" w:space="0" w:color="auto"/>
      </w:divBdr>
    </w:div>
    <w:div w:id="2108427756">
      <w:bodyDiv w:val="1"/>
      <w:marLeft w:val="0"/>
      <w:marRight w:val="0"/>
      <w:marTop w:val="0"/>
      <w:marBottom w:val="0"/>
      <w:divBdr>
        <w:top w:val="none" w:sz="0" w:space="0" w:color="auto"/>
        <w:left w:val="none" w:sz="0" w:space="0" w:color="auto"/>
        <w:bottom w:val="none" w:sz="0" w:space="0" w:color="auto"/>
        <w:right w:val="none" w:sz="0" w:space="0" w:color="auto"/>
      </w:divBdr>
    </w:div>
    <w:div w:id="2136093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0CE4DBCA03E44A6346186DF8BE64A" ma:contentTypeVersion="13" ma:contentTypeDescription="Create a new document." ma:contentTypeScope="" ma:versionID="9bb3d50e5321fbb11549d710219694b3">
  <xsd:schema xmlns:xsd="http://www.w3.org/2001/XMLSchema" xmlns:xs="http://www.w3.org/2001/XMLSchema" xmlns:p="http://schemas.microsoft.com/office/2006/metadata/properties" xmlns:ns3="dd0d43d5-4748-4293-83fc-267bfd85151f" xmlns:ns4="21b1f248-ea58-4199-ae6e-99633f1d4ac2" targetNamespace="http://schemas.microsoft.com/office/2006/metadata/properties" ma:root="true" ma:fieldsID="3c7aa55c79787e1caeb786c0a27c5421" ns3:_="" ns4:_="">
    <xsd:import namespace="dd0d43d5-4748-4293-83fc-267bfd85151f"/>
    <xsd:import namespace="21b1f248-ea58-4199-ae6e-99633f1d4a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d43d5-4748-4293-83fc-267bfd851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b1f248-ea58-4199-ae6e-99633f1d4a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AFC80E-0B24-4006-A9F3-6D338985F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d43d5-4748-4293-83fc-267bfd85151f"/>
    <ds:schemaRef ds:uri="21b1f248-ea58-4199-ae6e-99633f1d4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58FC8-DBA0-4BEA-84F5-64F5E651D753}">
  <ds:schemaRefs>
    <ds:schemaRef ds:uri="http://schemas.microsoft.com/sharepoint/v3/contenttype/forms"/>
  </ds:schemaRefs>
</ds:datastoreItem>
</file>

<file path=customXml/itemProps3.xml><?xml version="1.0" encoding="utf-8"?>
<ds:datastoreItem xmlns:ds="http://schemas.openxmlformats.org/officeDocument/2006/customXml" ds:itemID="{C35C6CD6-E4C7-4685-AC2F-353174AB0610}">
  <ds:schemaRefs>
    <ds:schemaRef ds:uri="http://schemas.openxmlformats.org/officeDocument/2006/bibliography"/>
  </ds:schemaRefs>
</ds:datastoreItem>
</file>

<file path=customXml/itemProps4.xml><?xml version="1.0" encoding="utf-8"?>
<ds:datastoreItem xmlns:ds="http://schemas.openxmlformats.org/officeDocument/2006/customXml" ds:itemID="{F54B5CE1-BC1B-47FD-A842-ECAA9938D4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4832</Words>
  <Characters>26096</Characters>
  <Application>Microsoft Office Word</Application>
  <DocSecurity>0</DocSecurity>
  <Lines>217</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FSC IC</Company>
  <LinksUpToDate>false</LinksUpToDate>
  <CharactersWithSpaces>30867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r.galan@fsc.org</dc:creator>
  <cp:keywords/>
  <dc:description/>
  <cp:lastModifiedBy>Daniela</cp:lastModifiedBy>
  <cp:revision>4</cp:revision>
  <cp:lastPrinted>2021-06-19T02:42:00Z</cp:lastPrinted>
  <dcterms:created xsi:type="dcterms:W3CDTF">2021-07-09T18:03:00Z</dcterms:created>
  <dcterms:modified xsi:type="dcterms:W3CDTF">2021-07-09T18:22:00Z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0x010100C210CE4DBCA03E44A6346186DF8BE64A</vt:lpwstr>
  </property>
  <property fmtid="{D5CDD505-2E9C-101B-9397-08002B2CF9AE}" pid="3" name="Order">
    <vt:r8>368700</vt:r8>
  </property>
  <property fmtid="{D5CDD505-2E9C-101B-9397-08002B2CF9AE}" pid="4" name="ComplianceAssetId">
    <vt:lpwstr/>
  </property>
</Properties>
</file>